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Химизация сельского хозяйства</w:t>
      </w:r>
    </w:p>
    <w:p w:rsidR="00A85CD2" w:rsidRPr="004E67DC" w:rsidRDefault="009148DA" w:rsidP="009148D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br w:type="page"/>
        <w:t>Содержание</w:t>
      </w:r>
    </w:p>
    <w:p w:rsidR="009148DA" w:rsidRPr="004E67DC" w:rsidRDefault="009148DA" w:rsidP="009148D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85CD2" w:rsidRPr="004E67DC" w:rsidRDefault="009148DA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Химическая мелиорация</w:t>
      </w:r>
    </w:p>
    <w:p w:rsidR="00A85CD2" w:rsidRPr="004E67DC" w:rsidRDefault="009148DA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Известкование почв</w:t>
      </w:r>
    </w:p>
    <w:p w:rsidR="00A85CD2" w:rsidRPr="004E67DC" w:rsidRDefault="009148DA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Гипсование почв</w:t>
      </w:r>
    </w:p>
    <w:p w:rsidR="00E404F0" w:rsidRPr="004E67DC" w:rsidRDefault="00AB48AF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Первые исслед</w:t>
      </w:r>
      <w:r w:rsidR="009148DA" w:rsidRPr="004E67DC">
        <w:rPr>
          <w:rFonts w:ascii="Times New Roman" w:hAnsi="Times New Roman"/>
          <w:color w:val="000000"/>
          <w:sz w:val="28"/>
          <w:szCs w:val="28"/>
        </w:rPr>
        <w:t>ования эффективности мелиорации</w:t>
      </w:r>
    </w:p>
    <w:p w:rsidR="00E404F0" w:rsidRPr="004E67DC" w:rsidRDefault="00E404F0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Влияние мелиораций на комплексность почвенного покрова</w:t>
      </w:r>
    </w:p>
    <w:p w:rsidR="00435C89" w:rsidRPr="004E67DC" w:rsidRDefault="009148DA" w:rsidP="009148DA">
      <w:pPr>
        <w:pStyle w:val="a4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Таблицы</w:t>
      </w:r>
    </w:p>
    <w:p w:rsidR="00A85CD2" w:rsidRPr="004E67DC" w:rsidRDefault="00A85CD2" w:rsidP="009148DA">
      <w:pPr>
        <w:pStyle w:val="a4"/>
        <w:shd w:val="clear" w:color="000000" w:fill="auto"/>
        <w:tabs>
          <w:tab w:val="left" w:pos="426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Список</w:t>
      </w:r>
      <w:r w:rsidR="009148DA" w:rsidRPr="004E67DC">
        <w:rPr>
          <w:rFonts w:ascii="Times New Roman" w:hAnsi="Times New Roman"/>
          <w:color w:val="000000"/>
          <w:sz w:val="28"/>
          <w:szCs w:val="28"/>
        </w:rPr>
        <w:t xml:space="preserve"> используемой литературы</w:t>
      </w:r>
    </w:p>
    <w:p w:rsidR="00A85CD2" w:rsidRPr="004E67DC" w:rsidRDefault="00A85CD2" w:rsidP="009148DA">
      <w:pPr>
        <w:pStyle w:val="a4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45D" w:rsidRPr="004E67DC" w:rsidRDefault="00A85CD2" w:rsidP="009148DA">
      <w:pPr>
        <w:pStyle w:val="a4"/>
        <w:numPr>
          <w:ilvl w:val="0"/>
          <w:numId w:val="10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br w:type="page"/>
      </w:r>
      <w:r w:rsidR="009148DA" w:rsidRPr="004E67DC">
        <w:rPr>
          <w:rFonts w:ascii="Times New Roman" w:hAnsi="Times New Roman"/>
          <w:b/>
          <w:color w:val="000000"/>
          <w:sz w:val="28"/>
          <w:szCs w:val="28"/>
        </w:rPr>
        <w:t>Химическая мелиорация</w:t>
      </w:r>
    </w:p>
    <w:p w:rsidR="009148DA" w:rsidRPr="004E67DC" w:rsidRDefault="009148DA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564" w:rsidRPr="004E67DC" w:rsidRDefault="00970564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Химическая мелиорация, система мер химического воздействия на почву для улучшения её свойств и повышения урожайности с.-х. культур. При </w:t>
      </w:r>
      <w:r w:rsidR="00C93EA6" w:rsidRPr="004E67DC">
        <w:rPr>
          <w:rFonts w:ascii="Times New Roman" w:hAnsi="Times New Roman"/>
          <w:color w:val="000000"/>
          <w:sz w:val="28"/>
          <w:szCs w:val="28"/>
        </w:rPr>
        <w:t xml:space="preserve">химической мелиорации </w:t>
      </w:r>
      <w:r w:rsidRPr="004E67DC">
        <w:rPr>
          <w:rFonts w:ascii="Times New Roman" w:hAnsi="Times New Roman"/>
          <w:color w:val="000000"/>
          <w:sz w:val="28"/>
          <w:szCs w:val="28"/>
        </w:rPr>
        <w:t>из корнеобитаемого слоя почвы удаляются вредные для с.-х. растений соли, в кислых почвах уменьшается содержание водорода и алюминия, в солонцах — натрия, присутствие которых в почвенном поглощающем комплексе ухудшает химические, физико-химические и биологические свойства почвы и снижает почвенное плод</w:t>
      </w:r>
      <w:r w:rsidR="00EE753E" w:rsidRPr="004E67DC">
        <w:rPr>
          <w:rFonts w:ascii="Times New Roman" w:hAnsi="Times New Roman"/>
          <w:color w:val="000000"/>
          <w:sz w:val="28"/>
          <w:szCs w:val="28"/>
        </w:rPr>
        <w:t>ородие.</w:t>
      </w:r>
    </w:p>
    <w:p w:rsidR="00A8608C" w:rsidRPr="004E67DC" w:rsidRDefault="00970564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Способы </w:t>
      </w:r>
      <w:r w:rsidR="00C93EA6" w:rsidRPr="004E67DC">
        <w:rPr>
          <w:rFonts w:ascii="Times New Roman" w:hAnsi="Times New Roman"/>
          <w:color w:val="000000"/>
          <w:sz w:val="28"/>
          <w:szCs w:val="28"/>
        </w:rPr>
        <w:t>химической мелиорации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: известкование почв (в основном в нечернозёмной зоне) — внесение известковых удобрений для замены в почвенном поглощающем комплексе ионов водорода и алюминия ионами кальция, что устраняет кислотность почвы; гипсование почв (солонцов и солонцовых почв) — внесение гипса, кальций которого заменяет в почве натрий, для снижения щёлочности; кислование почв (с щелочной и нейтральной реакцией) — подкисление почв, предназначенных для выращивания некоторых растений (например, чая) при внесении серы, дисульфата натрия и др. К </w:t>
      </w:r>
      <w:r w:rsidR="00C93EA6" w:rsidRPr="004E67DC">
        <w:rPr>
          <w:rFonts w:ascii="Times New Roman" w:hAnsi="Times New Roman"/>
          <w:color w:val="000000"/>
          <w:sz w:val="28"/>
          <w:szCs w:val="28"/>
        </w:rPr>
        <w:t xml:space="preserve">химической мелиорации </w:t>
      </w:r>
      <w:r w:rsidRPr="004E67DC">
        <w:rPr>
          <w:rFonts w:ascii="Times New Roman" w:hAnsi="Times New Roman"/>
          <w:color w:val="000000"/>
          <w:sz w:val="28"/>
          <w:szCs w:val="28"/>
        </w:rPr>
        <w:t>относят также внесение органических и минеральных удобрений в больших дозах, приводящее к коренному улучшению питательного режима мелиорируемых почв, например песчаных.</w:t>
      </w:r>
    </w:p>
    <w:p w:rsidR="0008745D" w:rsidRPr="004E67DC" w:rsidRDefault="0008745D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45D" w:rsidRPr="004E67DC" w:rsidRDefault="009148DA" w:rsidP="009148DA">
      <w:pPr>
        <w:pStyle w:val="a4"/>
        <w:numPr>
          <w:ilvl w:val="0"/>
          <w:numId w:val="10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Известкование почв</w:t>
      </w:r>
    </w:p>
    <w:p w:rsidR="009148DA" w:rsidRPr="004E67DC" w:rsidRDefault="009148DA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564" w:rsidRPr="004E67DC" w:rsidRDefault="00970564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почв, внесение в почву извести и других известковых удобрений для устранения избыточной кислотности, вредной для многих с.-х. растений; способ химической мелиорации кислых почв.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основано на замене в почвенном поглощающем комплексе ионов водорода и алюминия ионами кальция и магния. При известковании в результате нейтрализации кислотности почвы и увеличения содержания кальция усиливается жизнедеятельность полезных микроорганизмов (например, клубеньковых бактерий, микроорганизмов, минерализующих органические остатки и перегной) и почва обогащается доступными для растений элементами питания, улучшаются её физические свойства (структура, водопроницаемость и др.).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>повышает эффективность органических и минеральных удобрений.</w:t>
      </w:r>
    </w:p>
    <w:p w:rsidR="00970564" w:rsidRPr="004E67DC" w:rsidRDefault="0008745D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="00970564" w:rsidRPr="004E67DC">
        <w:rPr>
          <w:rFonts w:ascii="Times New Roman" w:hAnsi="Times New Roman"/>
          <w:color w:val="000000"/>
          <w:sz w:val="28"/>
          <w:szCs w:val="28"/>
        </w:rPr>
        <w:t xml:space="preserve">широко применяют на подзолистых, дерново-подзолистых и некоторых торфяных почвах, реже на серых лесных почвах и краснозёмах. На подзолистых почвах при pH их в солевой вытяжке менее 4,5 необходимо 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="00970564" w:rsidRPr="004E67DC">
        <w:rPr>
          <w:rFonts w:ascii="Times New Roman" w:hAnsi="Times New Roman"/>
          <w:color w:val="000000"/>
          <w:sz w:val="28"/>
          <w:szCs w:val="28"/>
        </w:rPr>
        <w:t>под все с.-х. культуры; при pH 4,5—5,0 — под все культуры, кроме люпина; при pH 5,1—5,5 — под культуры, очень чувствительные к кислотности (свёкла, капуста, лук, чеснок, клевер, люцерна, смородина), нуждающиеся в слабокислой и близкой к нейтральной реакции (брюква, турнепс, вика, фасоль, кукуруза, пшеница, ячмень, огурцы, яблоня, вишня) и переносящие умеренную кислотность, но повышающие урожай при внесении высоких доз извести (овёс, рожь, тимофеевка, гречиха); при pH 5,6—6,0 — только под свёклу и люцерну; при pH более 6,0 почву известковать не следует. Дозы известковых удобрений зависят от величины кислотности почвы и её механического состава; они должны быть достаточны для поддержания в течение 10—12 лет слабокислой реакции почвы, обеспечивающей нормальные условия для роста и развития большинства с.-х. культур (см. табл.</w:t>
      </w:r>
      <w:r w:rsidR="00E404F0" w:rsidRPr="004E67DC">
        <w:rPr>
          <w:rFonts w:ascii="Times New Roman" w:hAnsi="Times New Roman"/>
          <w:color w:val="000000"/>
          <w:sz w:val="28"/>
          <w:szCs w:val="28"/>
        </w:rPr>
        <w:t>1</w:t>
      </w:r>
      <w:r w:rsidR="00970564" w:rsidRPr="004E67DC">
        <w:rPr>
          <w:rFonts w:ascii="Times New Roman" w:hAnsi="Times New Roman"/>
          <w:color w:val="000000"/>
          <w:sz w:val="28"/>
          <w:szCs w:val="28"/>
        </w:rPr>
        <w:t>).</w:t>
      </w:r>
    </w:p>
    <w:p w:rsidR="00E404F0" w:rsidRPr="004E67DC" w:rsidRDefault="00970564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Дозы известковых удобрений могут быть снижены при неглубокой заделке их в почву и применении вместе с органическими и минеральными удобрениями. Известковые удобрения обычно вносят 1 раз в ротацию севооборота. В некоторых случаях, например, если в севообороте культуры резко различаются по своей нуждаемости в известковании, целесообразно дробное внесение (в несколько приёмов) полной дозы. Известковые удобрения можно вывозить в поле весной, летом и осенью; на выровненных массивах — по мёрзлой земле и мелкому снегу. Эффективность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в значительной степени зависит от равномерности распределения удобрений по поверхности и хорошей заделке их в почву.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даёт значительную прибавку урожая (в среднем по СССР в ц/га): зерновых колосовых культур (зерно) 0,5—4; зернобобовых (зерно) 1—3; кормовой свёклы 30—60; картофеля 5—15; льна (солома) 1—3; клевера (сено) 7—15; капусты 30—70; моркови 15—45. Для планового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известкование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>проводят специальные почвенные обследования и полевые опыты, составляют картограммы кислотности почв и известкования.</w:t>
      </w:r>
    </w:p>
    <w:p w:rsidR="00E404F0" w:rsidRPr="004E67DC" w:rsidRDefault="00E404F0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45D" w:rsidRPr="004E67DC" w:rsidRDefault="009148DA" w:rsidP="009148DA">
      <w:pPr>
        <w:pStyle w:val="a4"/>
        <w:numPr>
          <w:ilvl w:val="0"/>
          <w:numId w:val="10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Гипсование почв</w:t>
      </w:r>
    </w:p>
    <w:p w:rsidR="009148DA" w:rsidRPr="004E67DC" w:rsidRDefault="009148DA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3EA6" w:rsidRPr="004E67DC" w:rsidRDefault="00C93EA6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Гипсование почв, внесение в почву гипса для устранения избыточной щёлочности, вредной для многих с.-х. растений; способ химической мелиорации солонцов и солонцеватых почв. Гипсование основано на замене натрия, поглощённого почвой, кальцием, в результате чего улучшаются её неблагоприятные физико-химические и биологические свойства и повышается плодородие. Дозы гипса (устанавливают по количеству натрия в корнеобитаемом слое почвы, который необходимо заместить кальцием) от 3—4 до 10—15 т/га, наибольшие — на содовых солонцах. Гипс вносят в 2 приёма: перед вспашкой и после неё под культивацию. На солонцеватых почвах, содержащих меньшее количество натрия, чем солонцы, гипс (3—4 ц/га) вносят в рядки вместе с семенами.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Гипсование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>проводят в комплексе с агротехническими мероприятиями: глубокая вспашка (на 40—50 см) с перемешиванием солонцового слоя (это даёт возможность переместить гипс, содержащийся в подпахотном слое, в пахотный слой), орошение, внесение органических удобрений, снегозадержание и задержание талых вод, посев многолетних трав.</w:t>
      </w:r>
    </w:p>
    <w:p w:rsidR="00516BE7" w:rsidRPr="004E67DC" w:rsidRDefault="00C93EA6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08745D" w:rsidRPr="004E67DC">
        <w:rPr>
          <w:rFonts w:ascii="Times New Roman" w:hAnsi="Times New Roman"/>
          <w:color w:val="000000"/>
          <w:sz w:val="28"/>
          <w:szCs w:val="28"/>
        </w:rPr>
        <w:t xml:space="preserve">гипсования почв </w:t>
      </w:r>
      <w:r w:rsidRPr="004E67DC">
        <w:rPr>
          <w:rFonts w:ascii="Times New Roman" w:hAnsi="Times New Roman"/>
          <w:color w:val="000000"/>
          <w:sz w:val="28"/>
          <w:szCs w:val="28"/>
        </w:rPr>
        <w:t xml:space="preserve">применяют в основном сыро-молотый гипс (из природных залежей), фосфогипс — отходы производства удобрений, отходы содовой промышленности. Продолжительность перехода солонцов под действием гипса в культурную почву, т. е. мелиоративный период, 8—10 лет в неорошаемых условиях и 5—6 лет при орошении. Средняя прибавка урожая зерна при внесении гипса составляет в чернозёмной зоне (без орошения) 3—6 ц/га, в зоне каштановых почв 2—7 ц/га. На орошаемых землях эффективность </w:t>
      </w:r>
      <w:r w:rsidR="00516BE7" w:rsidRPr="004E67DC">
        <w:rPr>
          <w:rFonts w:ascii="Times New Roman" w:hAnsi="Times New Roman"/>
          <w:color w:val="000000"/>
          <w:sz w:val="28"/>
          <w:szCs w:val="28"/>
        </w:rPr>
        <w:t xml:space="preserve">гипсование почв </w:t>
      </w:r>
      <w:r w:rsidRPr="004E67DC">
        <w:rPr>
          <w:rFonts w:ascii="Times New Roman" w:hAnsi="Times New Roman"/>
          <w:color w:val="000000"/>
          <w:sz w:val="28"/>
          <w:szCs w:val="28"/>
        </w:rPr>
        <w:t>повышается.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8AF" w:rsidRPr="004E67DC" w:rsidRDefault="00AB48AF" w:rsidP="009148DA">
      <w:pPr>
        <w:pStyle w:val="a4"/>
        <w:numPr>
          <w:ilvl w:val="0"/>
          <w:numId w:val="10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Первые исслед</w:t>
      </w:r>
      <w:r w:rsidR="009148DA" w:rsidRPr="004E67DC">
        <w:rPr>
          <w:rFonts w:ascii="Times New Roman" w:hAnsi="Times New Roman"/>
          <w:b/>
          <w:color w:val="000000"/>
          <w:sz w:val="28"/>
          <w:szCs w:val="28"/>
        </w:rPr>
        <w:t>ования эффективности мелиорации</w:t>
      </w:r>
    </w:p>
    <w:p w:rsidR="009148DA" w:rsidRPr="004E67DC" w:rsidRDefault="009148DA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6BE7" w:rsidRPr="004E67DC" w:rsidRDefault="00516BE7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Отдельные приёмы химическая мелиорация были известны в античное время. В 16—18 вв. известкование применяли в Великобритании, Германии, Голландии и др. странах Европы.</w:t>
      </w:r>
    </w:p>
    <w:p w:rsidR="00516BE7" w:rsidRPr="004E67DC" w:rsidRDefault="00516BE7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Первые исследования эффективности внесения извести были проведены в России Д. И. Менделеевым в 1867—69. В последующие годы вопросы известкования изучались А. Н. Энгельгардтом, П. А. Костычевым, П. С. Коссовичем, Д. Н. Прянишниковым. Научные основы химическая мелиорация заложены К. К. Гедройцем, разработавшим теорию поглотительной способности почвы.</w:t>
      </w:r>
    </w:p>
    <w:p w:rsidR="00AB48AF" w:rsidRPr="004E67DC" w:rsidRDefault="00AB48AF" w:rsidP="009148D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B48AF" w:rsidRPr="004E67DC" w:rsidRDefault="00AB48AF" w:rsidP="003712C5">
      <w:pPr>
        <w:pStyle w:val="a4"/>
        <w:numPr>
          <w:ilvl w:val="0"/>
          <w:numId w:val="10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Влияние мелиораций на комплексность почвенного покрова</w:t>
      </w:r>
    </w:p>
    <w:p w:rsidR="009148DA" w:rsidRPr="004E67DC" w:rsidRDefault="009148DA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(Показано влияние химической и комплексной мелиораций на формирование однородного почвенного покрова комплексных почв на примере южных черноземов с солонцами)</w:t>
      </w:r>
    </w:p>
    <w:p w:rsidR="009148DA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Многолетние исследования показывают, что при орошении, особенно в условиях комплексности почвенного покрова, плодородие снижается на всех почвах. Так, например, южные черноземы, расположенные в комплексе с солонцами, без применения химической и комплексной мелиораций деградируют. При этом процессы осолонцевания, обусловленные подтягиванием минерализованных грунтовых вод к поверхности почв, достигают поверхностного слоя. Если в 1991 году содержание поглощенного натрия в слое 0–20 см черноземов составляло 4 %, а в слое 0–100 см 11 %, то в 2000 году произошло его перераспределение по слоям: в слое 0–20 см его количество составило 8 % от суммы ППК (почвенно-поглощающего комплекса), в слое 0–100 см –</w:t>
      </w:r>
      <w:r w:rsidR="009148DA" w:rsidRPr="004E67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67DC">
        <w:rPr>
          <w:rFonts w:ascii="Times New Roman" w:hAnsi="Times New Roman"/>
          <w:color w:val="000000"/>
          <w:sz w:val="28"/>
          <w:szCs w:val="28"/>
        </w:rPr>
        <w:t>8 %. Увеличение натрия в ППК сопровождается уменьшением в нем кальция.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Кроме осолонцевания в зональной почве идут процессы вторичного засоления, затрагивая метровую толщу. Засоление в пределах 0,4–0,6 % отмечается с 40–60 см, где при близком залегании грунтовых вод образуется капиллярная кайма. Так, в 1991 году средневзвешенное содержание токсичных солей в слое 0–100 см составляло 0,18 %, в 1995 году – 0,31 %, в 2000 году – 0,38 %, то есть накопление солей за 10 лет орошения составило 110 %. Этому способствуют грунтовые воды сульфатно-натриевого химизма засоления с минерализацией 10–15 г/л, находящиеся на уровне выше критического (1,8–2,0 м). При этом глубина грунтовых вод из года в год и от весны к осени меняется, поэтому и глубина солевых горизонтов разная, отсюда различное содержание солей в метровой толще.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Лугово-степные солонцы, расположенные среди южных черноземов, при орошении также не приобретают положительных свойств: рН остается высокой, содержание поглощенного натрия повышено не только в солонцовом горизонте, но и на поверхности. Его содержание в 0–20 см слое достигает 20–22 % за счет вертикальной и горизонтальной миграции почвенных растворов. Отсюда и низкая устойчивость почв к содовому засолению, низкое содержание гумуса, слабая обеспеченность элементами питания. Обе почвенные разновидности уплотнены, обладают склонностью к слитизации, водопрочность агрегатов либо неудовлетворительная, либо вообще отсутствует.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На таких массивах в первую очередь необходимо провести мероприятия по снижению уровня грунтовых вод ниже критических величин (более 3 м), а затем осуществить химическую или комплексную мелиорации. Главная задача таких мелиораций – сглаживание комплексности почвенного покрова и создание таких качеств солонцов, которые по своим свойствам приближались бы к зональным.</w:t>
      </w:r>
    </w:p>
    <w:p w:rsidR="009148DA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 xml:space="preserve">Полевые опыты по исследованию данных вопросов были проведены в ТОО "Цимлянское" Мартыновского района Ростовской области. Данная территория относится к сухостепной зоне. Климат континентальный. Рельеф равнинный, опыты проводились на первой надпойменной террасе р. Западный Маныч (Доно-Манычская провинция). Почвенный покров представлен комплексом южных черноземов и лугово-степных солонцов. Последние занимают в комплексе 25–30 %. Как видно из таблицы </w:t>
      </w:r>
      <w:r w:rsidR="00E404F0" w:rsidRPr="004E67DC">
        <w:rPr>
          <w:rFonts w:ascii="Times New Roman" w:hAnsi="Times New Roman"/>
          <w:color w:val="000000"/>
          <w:sz w:val="28"/>
          <w:szCs w:val="28"/>
        </w:rPr>
        <w:t>2</w:t>
      </w:r>
      <w:r w:rsidRPr="004E67DC">
        <w:rPr>
          <w:rFonts w:ascii="Times New Roman" w:hAnsi="Times New Roman"/>
          <w:color w:val="000000"/>
          <w:sz w:val="28"/>
          <w:szCs w:val="28"/>
        </w:rPr>
        <w:t>, сглаживание комплексности почвенного покрова по основным показателям произошло при использовании в качестве химического мелиоранта фосфогипса и его сочетаний с навозом.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На контроле содержание обменного натрия в 0–40 см слое в южном черноземе составляло 10 %, на солонце – 21 %, рН 7,9–8,5 соответственно, объемная масса практически одинаковая в силу физической уплотненности, а коэффициент дисперсности на солонце в 1,5 раза выше, чем на южном черноземе, общее содержание гумуса составляло 3,7 %, на солонце – 3,19 %. В силу различных свойств почв, входящих в комплекс, урожайность на солонцах была на 15–20 % ниже, чем на южных солонцеватых черноземах. В результате химической мелиорации в вариантах с чистым фосфогипсом, в сочетаниях с 10 т/га Ф + 20 т/га и 10 т/га Ф + 40 т/га Н на солонцах уже в 1-й год последействия солонцеватость снизилась до категории среднесолонцеватых почв и приблизилась к солонцеватости зональных почв. Сами южные черноземы из ряда слабосолонцеватых перешли в разряд несолонцеватых почв.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Одновременно произошло снижение щелочности, почвы разуплотнились, и почвенные частицы в той и другой разновидностях почв скоагулировались, что наглядно представлено коэффициентом дисперсности, который уменьшился почти в 2 раза. За счет внесения навоза и лучшего развития сельскохозяйственных культур увеличилось в 40 см слое содержание гумуса. На 4-й год последействия восстановления отрицательных свойств почв солонцового комплекса не наблюдалось. Это подтверждается как свойствами почв, так и урожайностью сельскохозяйственных культур. При этом отмечено, что химическая мелиорация солонцов, как наихудшей почвы комплекса, сопровождается большей отдачей по продуктивности. Так, в первый год после мелиорации урожайность кукурузы на зеленую массу в варианте с 10 т/га Ф + 20 т/га Н на солонце была выше по сравнению с контролем на 33 %, а на южном черноземе на 26 %.</w:t>
      </w:r>
    </w:p>
    <w:p w:rsidR="00AB48AF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На 4-й год после мелиорации урожайность озимой пшеницы соответственно выше на 39 и 35 % по сравнению с контролем. Аналогичная ситуация складывалась на варианте с 10 т/га Ф и 20 т/га Н. В варианте с чистым фосфогипсом прибавки на обеих почвах одинаковы, а на 4-й год на южном черноземе прибавка по сравнению с контролем составила 32 %, на солонце 35 %.</w:t>
      </w:r>
    </w:p>
    <w:p w:rsidR="00F378B5" w:rsidRPr="004E67DC" w:rsidRDefault="00AB48AF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Навоз в чистом виде на солонцах с высокой щелочностью не способствует рассолонцеванию и, следовательно, не улучшает основные свойства почв, а на южных черноземах с реакцией почв ближе к слабощелочной снизилась солонцеватость, уменьшилась объемная масса до 1,30 т/м3, несколько снизился коэффициент дисперсности, возросло содержание гумуса. За счет этих свойств урожайность по сравнению с контролем в 1-й год его последействия возросла на 11 %, а на 4-й год уже на 28 %, то есть на южных черноземах навоз в чистом виде мелиорирующее действие оказывает, но использовать его для мелиорации почв солонцовых ком</w:t>
      </w:r>
      <w:r w:rsidR="00E404F0" w:rsidRPr="004E67DC">
        <w:rPr>
          <w:rFonts w:ascii="Times New Roman" w:hAnsi="Times New Roman"/>
          <w:color w:val="000000"/>
          <w:sz w:val="28"/>
          <w:szCs w:val="28"/>
        </w:rPr>
        <w:t>плексов нецелесообразно (табл. 3</w:t>
      </w:r>
      <w:r w:rsidRPr="004E67DC">
        <w:rPr>
          <w:rFonts w:ascii="Times New Roman" w:hAnsi="Times New Roman"/>
          <w:color w:val="000000"/>
          <w:sz w:val="28"/>
          <w:szCs w:val="28"/>
        </w:rPr>
        <w:t>).</w:t>
      </w:r>
    </w:p>
    <w:p w:rsidR="00AB48AF" w:rsidRPr="004E67DC" w:rsidRDefault="00F378B5" w:rsidP="009148D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Таким образом, проведение комплексной мелиорации на почвах солонцовых комплексов еще в большей степени исключает проявление негативных процессов и способствует формированию однородного почвенного покрова.</w:t>
      </w:r>
    </w:p>
    <w:p w:rsidR="00F378B5" w:rsidRPr="004E67DC" w:rsidRDefault="009148DA" w:rsidP="009148DA">
      <w:pPr>
        <w:rPr>
          <w:rFonts w:ascii="Times New Roman" w:hAnsi="Times New Roman"/>
          <w:color w:val="000000"/>
          <w:sz w:val="28"/>
          <w:szCs w:val="32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61151B" w:rsidRPr="004E67DC" w:rsidRDefault="0061151B" w:rsidP="009148D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67DC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A85CD2" w:rsidRPr="004E67DC">
        <w:rPr>
          <w:rFonts w:ascii="Times New Roman" w:hAnsi="Times New Roman"/>
          <w:b/>
          <w:color w:val="000000"/>
          <w:sz w:val="28"/>
          <w:szCs w:val="28"/>
        </w:rPr>
        <w:t>писок используемой</w:t>
      </w:r>
      <w:r w:rsidR="009148DA" w:rsidRPr="004E67DC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9148DA" w:rsidRPr="004E67DC" w:rsidRDefault="009148DA" w:rsidP="009148D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148DA" w:rsidRPr="004E67DC" w:rsidRDefault="00516BE7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Известкование кислых почв нечерноземной полосы СССР, Л., 1971;</w:t>
      </w:r>
    </w:p>
    <w:p w:rsidR="009148DA" w:rsidRPr="004E67DC" w:rsidRDefault="00516BE7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Солонцы и их сельскохозяйственное использование, М., 1975;</w:t>
      </w:r>
    </w:p>
    <w:p w:rsidR="00516BE7" w:rsidRPr="004E67DC" w:rsidRDefault="009148DA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Корнилов М.</w:t>
      </w:r>
      <w:r w:rsidR="00516BE7" w:rsidRPr="004E67DC">
        <w:rPr>
          <w:rFonts w:ascii="Times New Roman" w:hAnsi="Times New Roman"/>
          <w:color w:val="000000"/>
          <w:sz w:val="28"/>
          <w:szCs w:val="28"/>
        </w:rPr>
        <w:t>Ф., Благовидов Н. Л., Известкование почв северо-западной зоны нечерноземной полосы СССР, М. — Л., 1955;</w:t>
      </w:r>
    </w:p>
    <w:p w:rsidR="009148DA" w:rsidRPr="004E67DC" w:rsidRDefault="009148DA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Авдонин Н.</w:t>
      </w:r>
      <w:r w:rsidR="00516BE7" w:rsidRPr="004E67DC">
        <w:rPr>
          <w:rFonts w:ascii="Times New Roman" w:hAnsi="Times New Roman"/>
          <w:color w:val="000000"/>
          <w:sz w:val="28"/>
          <w:szCs w:val="28"/>
        </w:rPr>
        <w:t>С., Повышение плодородия кислых почв, М., 1960;</w:t>
      </w:r>
    </w:p>
    <w:p w:rsidR="009148DA" w:rsidRPr="004E67DC" w:rsidRDefault="009148DA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Корнилов М.Ф. и Трунина З.</w:t>
      </w:r>
      <w:r w:rsidR="00516BE7" w:rsidRPr="004E67DC">
        <w:rPr>
          <w:rFonts w:ascii="Times New Roman" w:hAnsi="Times New Roman"/>
          <w:color w:val="000000"/>
          <w:sz w:val="28"/>
          <w:szCs w:val="28"/>
        </w:rPr>
        <w:t>В., Известкование кислых почв, Л., 1960;</w:t>
      </w:r>
    </w:p>
    <w:p w:rsidR="009148DA" w:rsidRPr="004E67DC" w:rsidRDefault="009148DA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Шедеров С.</w:t>
      </w:r>
      <w:r w:rsidR="00516BE7" w:rsidRPr="004E67DC">
        <w:rPr>
          <w:rFonts w:ascii="Times New Roman" w:hAnsi="Times New Roman"/>
          <w:color w:val="000000"/>
          <w:sz w:val="28"/>
          <w:szCs w:val="28"/>
        </w:rPr>
        <w:t>Г., Известкование кислых почв, 2 изд., М., 1960;</w:t>
      </w:r>
    </w:p>
    <w:p w:rsidR="00516BE7" w:rsidRPr="004E67DC" w:rsidRDefault="00516BE7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Химизация сельского хозяйства. Научно-технический словарь-справоч</w:t>
      </w:r>
      <w:r w:rsidR="009148DA" w:rsidRPr="004E67DC">
        <w:rPr>
          <w:rFonts w:ascii="Times New Roman" w:hAnsi="Times New Roman"/>
          <w:color w:val="000000"/>
          <w:sz w:val="28"/>
          <w:szCs w:val="28"/>
        </w:rPr>
        <w:t>ник, под ред. Л.Л. Балашова и С.</w:t>
      </w:r>
      <w:r w:rsidRPr="004E67DC">
        <w:rPr>
          <w:rFonts w:ascii="Times New Roman" w:hAnsi="Times New Roman"/>
          <w:color w:val="000000"/>
          <w:sz w:val="28"/>
          <w:szCs w:val="28"/>
        </w:rPr>
        <w:t>И. Вольфк</w:t>
      </w:r>
      <w:r w:rsidR="00E22759" w:rsidRPr="004E67DC">
        <w:rPr>
          <w:rFonts w:ascii="Times New Roman" w:hAnsi="Times New Roman"/>
          <w:color w:val="000000"/>
          <w:sz w:val="28"/>
          <w:szCs w:val="28"/>
        </w:rPr>
        <w:t>овича, 2 изд., М., 1968, с. 5—6;</w:t>
      </w:r>
    </w:p>
    <w:p w:rsidR="00F378B5" w:rsidRPr="004E67DC" w:rsidRDefault="00F378B5" w:rsidP="009148DA">
      <w:pPr>
        <w:pStyle w:val="a4"/>
        <w:numPr>
          <w:ilvl w:val="0"/>
          <w:numId w:val="4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E67DC">
        <w:rPr>
          <w:rFonts w:ascii="Times New Roman" w:hAnsi="Times New Roman"/>
          <w:color w:val="000000"/>
          <w:sz w:val="28"/>
          <w:szCs w:val="28"/>
        </w:rPr>
        <w:t>Научный журнал кубанского государственного агр</w:t>
      </w:r>
      <w:r w:rsidR="009148DA" w:rsidRPr="004E67DC">
        <w:rPr>
          <w:rFonts w:ascii="Times New Roman" w:hAnsi="Times New Roman"/>
          <w:color w:val="000000"/>
          <w:sz w:val="28"/>
          <w:szCs w:val="28"/>
        </w:rPr>
        <w:t>арного университета, Усанина Т.В. – науч. сотр., Шалашова О.</w:t>
      </w:r>
      <w:r w:rsidRPr="004E67DC">
        <w:rPr>
          <w:rFonts w:ascii="Times New Roman" w:hAnsi="Times New Roman"/>
          <w:color w:val="000000"/>
          <w:sz w:val="28"/>
          <w:szCs w:val="28"/>
        </w:rPr>
        <w:t>Ю. – к. с.-х. н., доцент.</w:t>
      </w:r>
      <w:bookmarkStart w:id="0" w:name="_GoBack"/>
      <w:bookmarkEnd w:id="0"/>
    </w:p>
    <w:sectPr w:rsidR="00F378B5" w:rsidRPr="004E67DC" w:rsidSect="009148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EC" w:rsidRDefault="000F15EC" w:rsidP="0061151B">
      <w:pPr>
        <w:spacing w:after="0" w:line="240" w:lineRule="auto"/>
      </w:pPr>
      <w:r>
        <w:separator/>
      </w:r>
    </w:p>
  </w:endnote>
  <w:endnote w:type="continuationSeparator" w:id="0">
    <w:p w:rsidR="000F15EC" w:rsidRDefault="000F15EC" w:rsidP="0061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EC" w:rsidRDefault="000F15EC" w:rsidP="0061151B">
      <w:pPr>
        <w:spacing w:after="0" w:line="240" w:lineRule="auto"/>
      </w:pPr>
      <w:r>
        <w:separator/>
      </w:r>
    </w:p>
  </w:footnote>
  <w:footnote w:type="continuationSeparator" w:id="0">
    <w:p w:rsidR="000F15EC" w:rsidRDefault="000F15EC" w:rsidP="0061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4F1A"/>
    <w:multiLevelType w:val="hybridMultilevel"/>
    <w:tmpl w:val="A44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BF59F1"/>
    <w:multiLevelType w:val="hybridMultilevel"/>
    <w:tmpl w:val="5E30EC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15030C2"/>
    <w:multiLevelType w:val="hybridMultilevel"/>
    <w:tmpl w:val="A092B0C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A1A4849"/>
    <w:multiLevelType w:val="hybridMultilevel"/>
    <w:tmpl w:val="9B02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A74304"/>
    <w:multiLevelType w:val="hybridMultilevel"/>
    <w:tmpl w:val="91EEE97E"/>
    <w:lvl w:ilvl="0" w:tplc="4E5A59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176A1C"/>
    <w:multiLevelType w:val="hybridMultilevel"/>
    <w:tmpl w:val="EAB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A23D20"/>
    <w:multiLevelType w:val="hybridMultilevel"/>
    <w:tmpl w:val="6EAA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2614F9"/>
    <w:multiLevelType w:val="hybridMultilevel"/>
    <w:tmpl w:val="A578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DE2A47"/>
    <w:multiLevelType w:val="hybridMultilevel"/>
    <w:tmpl w:val="0226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0D3420"/>
    <w:multiLevelType w:val="hybridMultilevel"/>
    <w:tmpl w:val="B5D07B8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564"/>
    <w:rsid w:val="0008745D"/>
    <w:rsid w:val="000F15EC"/>
    <w:rsid w:val="001B7CAC"/>
    <w:rsid w:val="00340030"/>
    <w:rsid w:val="003712C5"/>
    <w:rsid w:val="00435C89"/>
    <w:rsid w:val="004E67DC"/>
    <w:rsid w:val="00516BE7"/>
    <w:rsid w:val="0061151B"/>
    <w:rsid w:val="00776F97"/>
    <w:rsid w:val="007D1786"/>
    <w:rsid w:val="009148DA"/>
    <w:rsid w:val="00970564"/>
    <w:rsid w:val="00A85CD2"/>
    <w:rsid w:val="00A8608C"/>
    <w:rsid w:val="00AB48AF"/>
    <w:rsid w:val="00BF0570"/>
    <w:rsid w:val="00C93EA6"/>
    <w:rsid w:val="00CB0CE6"/>
    <w:rsid w:val="00DF407A"/>
    <w:rsid w:val="00E22759"/>
    <w:rsid w:val="00E404F0"/>
    <w:rsid w:val="00EE753E"/>
    <w:rsid w:val="00F23E86"/>
    <w:rsid w:val="00F378B5"/>
    <w:rsid w:val="00F65863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5C7C33-AF58-415F-ABB6-5D597427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BE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1151B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611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1151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4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F3ED93-3A64-4CF7-8CA6-361B9C44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cp:lastPrinted>2009-05-06T12:09:00Z</cp:lastPrinted>
  <dcterms:created xsi:type="dcterms:W3CDTF">2014-03-07T19:19:00Z</dcterms:created>
  <dcterms:modified xsi:type="dcterms:W3CDTF">2014-03-07T19:19:00Z</dcterms:modified>
</cp:coreProperties>
</file>