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2" type="tile"/>
    </v:background>
  </w:background>
  <w:body>
    <w:tbl>
      <w:tblPr>
        <w:tblW w:w="8598" w:type="dxa"/>
        <w:tblCellSpacing w:w="6" w:type="dxa"/>
        <w:tblCellMar>
          <w:top w:w="15" w:type="dxa"/>
          <w:left w:w="15" w:type="dxa"/>
          <w:bottom w:w="15" w:type="dxa"/>
          <w:right w:w="15" w:type="dxa"/>
        </w:tblCellMar>
        <w:tblLook w:val="0000" w:firstRow="0" w:lastRow="0" w:firstColumn="0" w:lastColumn="0" w:noHBand="0" w:noVBand="0"/>
      </w:tblPr>
      <w:tblGrid>
        <w:gridCol w:w="7756"/>
        <w:gridCol w:w="842"/>
      </w:tblGrid>
      <w:tr w:rsidR="00AC7D70">
        <w:trPr>
          <w:gridAfter w:val="1"/>
          <w:wAfter w:w="824" w:type="dxa"/>
          <w:trHeight w:val="12"/>
          <w:tblCellSpacing w:w="6" w:type="dxa"/>
          <w:hidden/>
        </w:trPr>
        <w:tc>
          <w:tcPr>
            <w:tcW w:w="7738" w:type="dxa"/>
          </w:tcPr>
          <w:p w:rsidR="00AC7D70" w:rsidRDefault="00AC7D70">
            <w:pPr>
              <w:jc w:val="both"/>
              <w:rPr>
                <w:vanish/>
                <w:sz w:val="21"/>
                <w:szCs w:val="21"/>
              </w:rPr>
            </w:pPr>
          </w:p>
          <w:tbl>
            <w:tblPr>
              <w:tblW w:w="7656" w:type="dxa"/>
              <w:jc w:val="center"/>
              <w:tblCellSpacing w:w="6" w:type="dxa"/>
              <w:tblCellMar>
                <w:top w:w="108" w:type="dxa"/>
                <w:bottom w:w="108" w:type="dxa"/>
              </w:tblCellMar>
              <w:tblLook w:val="0000" w:firstRow="0" w:lastRow="0" w:firstColumn="0" w:lastColumn="0" w:noHBand="0" w:noVBand="0"/>
            </w:tblPr>
            <w:tblGrid>
              <w:gridCol w:w="7656"/>
            </w:tblGrid>
            <w:tr w:rsidR="00AC7D70">
              <w:trPr>
                <w:trHeight w:val="2664"/>
                <w:tblCellSpacing w:w="6" w:type="dxa"/>
                <w:jc w:val="center"/>
              </w:trPr>
              <w:tc>
                <w:tcPr>
                  <w:tcW w:w="7632" w:type="dxa"/>
                </w:tcPr>
                <w:p w:rsidR="00AC7D70" w:rsidRDefault="00622D94">
                  <w:pPr>
                    <w:pStyle w:val="a5"/>
                    <w:jc w:val="center"/>
                    <w:rPr>
                      <w:sz w:val="22"/>
                      <w:szCs w:val="21"/>
                    </w:rPr>
                  </w:pPr>
                  <w:r>
                    <w:rPr>
                      <w:color w:val="000000"/>
                      <w:sz w:val="22"/>
                      <w:szCs w:val="21"/>
                    </w:rPr>
                    <w:t>ХЛАМИДИОЗ - СОВРЕМЕННЫЕ ПОДХОДЫ К ДИАГНОСТИКЕ И ЛЕЧЕНИЮ</w:t>
                  </w:r>
                </w:p>
                <w:p w:rsidR="00AC7D70" w:rsidRDefault="00622D94">
                  <w:pPr>
                    <w:pStyle w:val="a5"/>
                    <w:jc w:val="center"/>
                    <w:rPr>
                      <w:i/>
                      <w:iCs/>
                      <w:szCs w:val="21"/>
                    </w:rPr>
                  </w:pPr>
                  <w:r>
                    <w:rPr>
                      <w:i/>
                      <w:iCs/>
                      <w:szCs w:val="21"/>
                    </w:rPr>
                    <w:t>Цитоскопические методы обнаружения хламидий</w:t>
                  </w:r>
                </w:p>
                <w:p w:rsidR="00AC7D70" w:rsidRDefault="00622D94">
                  <w:pPr>
                    <w:pStyle w:val="a5"/>
                    <w:spacing w:before="0" w:beforeAutospacing="0" w:after="0" w:afterAutospacing="0"/>
                    <w:ind w:left="60" w:firstLine="384"/>
                    <w:jc w:val="both"/>
                    <w:rPr>
                      <w:sz w:val="21"/>
                      <w:szCs w:val="21"/>
                    </w:rPr>
                  </w:pPr>
                  <w:r>
                    <w:rPr>
                      <w:sz w:val="21"/>
                      <w:szCs w:val="21"/>
                    </w:rPr>
                    <w:t>При цитоскопическом методе одновременно с поиском цитоплазматических клеток-включений Провачека учитывается количество лейкоцитов как показателя воспаления, а также дополнительная информация о наличии сопутствующей бактериальной микрофлоры, дрожжеподобных грибов, трихомонад и т.п.</w:t>
                  </w:r>
                </w:p>
                <w:p w:rsidR="00AC7D70" w:rsidRDefault="00622D94">
                  <w:pPr>
                    <w:pStyle w:val="a5"/>
                    <w:spacing w:before="0" w:beforeAutospacing="0" w:after="0" w:afterAutospacing="0"/>
                    <w:ind w:left="60" w:firstLine="384"/>
                    <w:jc w:val="both"/>
                    <w:rPr>
                      <w:sz w:val="21"/>
                      <w:szCs w:val="21"/>
                    </w:rPr>
                  </w:pPr>
                  <w:r>
                    <w:rPr>
                      <w:sz w:val="21"/>
                      <w:szCs w:val="21"/>
                    </w:rPr>
                    <w:t>Показания: Острая фаза заболевания.</w:t>
                  </w:r>
                </w:p>
                <w:p w:rsidR="00AC7D70" w:rsidRDefault="00622D94">
                  <w:pPr>
                    <w:pStyle w:val="a5"/>
                    <w:spacing w:before="0" w:beforeAutospacing="0" w:after="0" w:afterAutospacing="0"/>
                    <w:ind w:left="60" w:firstLine="384"/>
                    <w:jc w:val="both"/>
                    <w:rPr>
                      <w:sz w:val="21"/>
                      <w:szCs w:val="21"/>
                    </w:rPr>
                  </w:pPr>
                  <w:r>
                    <w:rPr>
                      <w:sz w:val="21"/>
                      <w:szCs w:val="21"/>
                    </w:rPr>
                    <w:t>Материалом для исследования служат соскобы из уретры у мужчин и уретры и /или цервикального канала у женщин. Материал берут специальными щеточками или ложечками Фолькмана. Выделения из цервикального канала удаляются ватным тампоном. Щеточка вводится в канал на 1-2 см, вращается 15 секунд . Соскобный материал распределяется на предметном стекле, высушивается на воздухе и фиксируется в метаноле или холодном ацетоне. Наиболее популярна окраска по Романовскому-Гимзе. После окраски препараты просматриваются в световом микроскопе, используя иммерсионный объектив (х90). При этом цитоплазма клеток окрашивается в голубой цвет, ядра в фиолетово-синий, цитоплазматические включения определяются в виде темно-синих или розовых микроколоний на фоне голубой цитоплазмы. На стадии элементарных включения хламидий окрашиваются в розовый цвет, на стадии элементарных телец -в синий.</w:t>
                  </w:r>
                </w:p>
                <w:p w:rsidR="00AC7D70" w:rsidRDefault="00622D94">
                  <w:pPr>
                    <w:pStyle w:val="a5"/>
                    <w:spacing w:before="0" w:beforeAutospacing="0" w:after="0" w:afterAutospacing="0"/>
                    <w:ind w:left="60" w:firstLine="384"/>
                    <w:jc w:val="both"/>
                    <w:rPr>
                      <w:sz w:val="21"/>
                      <w:szCs w:val="21"/>
                    </w:rPr>
                  </w:pPr>
                  <w:r>
                    <w:rPr>
                      <w:sz w:val="21"/>
                      <w:szCs w:val="21"/>
                    </w:rPr>
                    <w:t>Цитоскопический метод широко доступен, но эффективен лишь при острых формах инфекции, значительно менее эффективен и информативен при хронических формах заболевания При урогенитальном хламидиозе частота обнаружения телец Провачека в соскобах уретры и цервикального канала не превышает 10-12 %. Наличие этих телец подтверждает диагноз хламидиоза, однако их отсутствие не исключает наличие инфекции.</w:t>
                  </w:r>
                </w:p>
              </w:tc>
            </w:tr>
          </w:tbl>
          <w:p w:rsidR="00AC7D70" w:rsidRDefault="00AC7D70">
            <w:pPr>
              <w:spacing w:line="12" w:lineRule="atLeast"/>
              <w:jc w:val="both"/>
              <w:rPr>
                <w:sz w:val="21"/>
                <w:szCs w:val="21"/>
              </w:rPr>
            </w:pPr>
          </w:p>
        </w:tc>
      </w:tr>
      <w:tr w:rsidR="00AC7D70">
        <w:trPr>
          <w:gridAfter w:val="1"/>
          <w:wAfter w:w="824" w:type="dxa"/>
          <w:trHeight w:val="12"/>
          <w:tblCellSpacing w:w="6" w:type="dxa"/>
        </w:trPr>
        <w:tc>
          <w:tcPr>
            <w:tcW w:w="7738" w:type="dxa"/>
          </w:tcPr>
          <w:p w:rsidR="00AC7D70" w:rsidRDefault="00622D94">
            <w:pPr>
              <w:jc w:val="both"/>
              <w:rPr>
                <w:vanish/>
                <w:sz w:val="21"/>
                <w:szCs w:val="21"/>
              </w:rPr>
            </w:pPr>
            <w:r>
              <w:rPr>
                <w:sz w:val="21"/>
                <w:szCs w:val="21"/>
              </w:rPr>
              <w:t> </w:t>
            </w:r>
          </w:p>
          <w:tbl>
            <w:tblPr>
              <w:tblW w:w="7656" w:type="dxa"/>
              <w:jc w:val="center"/>
              <w:tblCellSpacing w:w="6" w:type="dxa"/>
              <w:tblCellMar>
                <w:top w:w="108" w:type="dxa"/>
                <w:bottom w:w="108" w:type="dxa"/>
              </w:tblCellMar>
              <w:tblLook w:val="0000" w:firstRow="0" w:lastRow="0" w:firstColumn="0" w:lastColumn="0" w:noHBand="0" w:noVBand="0"/>
            </w:tblPr>
            <w:tblGrid>
              <w:gridCol w:w="7656"/>
            </w:tblGrid>
            <w:tr w:rsidR="00AC7D70">
              <w:trPr>
                <w:trHeight w:val="2664"/>
                <w:tblCellSpacing w:w="6" w:type="dxa"/>
                <w:jc w:val="center"/>
              </w:trPr>
              <w:tc>
                <w:tcPr>
                  <w:tcW w:w="7632" w:type="dxa"/>
                </w:tcPr>
                <w:p w:rsidR="00AC7D70" w:rsidRDefault="00622D94">
                  <w:pPr>
                    <w:pStyle w:val="a5"/>
                    <w:jc w:val="center"/>
                    <w:rPr>
                      <w:i/>
                      <w:iCs/>
                      <w:szCs w:val="21"/>
                    </w:rPr>
                  </w:pPr>
                  <w:r>
                    <w:rPr>
                      <w:i/>
                      <w:iCs/>
                      <w:szCs w:val="21"/>
                    </w:rPr>
                    <w:t>Прямая иммунофлюоресценция (ПИФ)</w:t>
                  </w:r>
                </w:p>
                <w:p w:rsidR="00AC7D70" w:rsidRDefault="00622D94">
                  <w:pPr>
                    <w:pStyle w:val="a5"/>
                    <w:spacing w:before="0" w:beforeAutospacing="0" w:after="0" w:afterAutospacing="0"/>
                    <w:ind w:left="60" w:firstLine="384"/>
                    <w:jc w:val="both"/>
                    <w:rPr>
                      <w:sz w:val="21"/>
                      <w:szCs w:val="21"/>
                    </w:rPr>
                  </w:pPr>
                  <w:r>
                    <w:rPr>
                      <w:sz w:val="21"/>
                      <w:szCs w:val="21"/>
                    </w:rPr>
                    <w:t>Этот метод предусматривает прямое выявление антигенов хламидий. При люминесцентной микроскопии включения хламидий определяются в виде зеленой или желто-зеленой флюоресценции включений на коричнево-оранжевом фоне цитоплазмы клеток Включения могут иметь зернистую гомогенную или смешанную структуру.</w:t>
                  </w:r>
                </w:p>
                <w:p w:rsidR="00AC7D70" w:rsidRDefault="00622D94">
                  <w:pPr>
                    <w:pStyle w:val="a5"/>
                    <w:spacing w:before="144" w:beforeAutospacing="0" w:after="0" w:afterAutospacing="0"/>
                    <w:ind w:left="60" w:firstLine="384"/>
                    <w:jc w:val="both"/>
                    <w:rPr>
                      <w:sz w:val="21"/>
                      <w:szCs w:val="21"/>
                    </w:rPr>
                  </w:pPr>
                  <w:r>
                    <w:rPr>
                      <w:sz w:val="21"/>
                      <w:szCs w:val="21"/>
                    </w:rPr>
                    <w:t>Показаниями для диагностики хламидийной инфекции этим методом являются:</w:t>
                  </w:r>
                </w:p>
                <w:p w:rsidR="00AC7D70" w:rsidRDefault="00622D94">
                  <w:pPr>
                    <w:pStyle w:val="a5"/>
                    <w:spacing w:before="0" w:beforeAutospacing="0" w:after="0" w:afterAutospacing="0"/>
                    <w:ind w:left="60" w:firstLine="384"/>
                    <w:jc w:val="both"/>
                    <w:rPr>
                      <w:sz w:val="21"/>
                      <w:szCs w:val="21"/>
                    </w:rPr>
                  </w:pPr>
                  <w:r>
                    <w:rPr>
                      <w:sz w:val="21"/>
                      <w:szCs w:val="21"/>
                    </w:rPr>
                    <w:t>1.Острая фаза заболевания.</w:t>
                  </w:r>
                </w:p>
                <w:p w:rsidR="00AC7D70" w:rsidRDefault="00622D94">
                  <w:pPr>
                    <w:pStyle w:val="a5"/>
                    <w:spacing w:before="0" w:beforeAutospacing="0" w:after="0" w:afterAutospacing="0"/>
                    <w:ind w:left="60" w:firstLine="384"/>
                    <w:jc w:val="both"/>
                    <w:rPr>
                      <w:sz w:val="21"/>
                      <w:szCs w:val="21"/>
                    </w:rPr>
                  </w:pPr>
                  <w:r>
                    <w:rPr>
                      <w:sz w:val="21"/>
                      <w:szCs w:val="21"/>
                    </w:rPr>
                    <w:t>2.Хроническая фаза заболевания</w:t>
                  </w:r>
                </w:p>
                <w:p w:rsidR="00AC7D70" w:rsidRDefault="00622D94">
                  <w:pPr>
                    <w:pStyle w:val="a5"/>
                    <w:spacing w:before="0" w:beforeAutospacing="0" w:after="0" w:afterAutospacing="0"/>
                    <w:ind w:left="60" w:firstLine="384"/>
                    <w:jc w:val="both"/>
                    <w:rPr>
                      <w:sz w:val="21"/>
                      <w:szCs w:val="21"/>
                    </w:rPr>
                  </w:pPr>
                  <w:r>
                    <w:rPr>
                      <w:sz w:val="21"/>
                      <w:szCs w:val="21"/>
                    </w:rPr>
                    <w:t>3 Установление этиологии хронического инфекционного процесса урогенитального тракта</w:t>
                  </w:r>
                </w:p>
                <w:p w:rsidR="00AC7D70" w:rsidRDefault="00622D94">
                  <w:pPr>
                    <w:pStyle w:val="a5"/>
                    <w:spacing w:before="0" w:beforeAutospacing="0" w:after="0" w:afterAutospacing="0"/>
                    <w:ind w:left="60" w:firstLine="384"/>
                    <w:jc w:val="both"/>
                    <w:rPr>
                      <w:sz w:val="21"/>
                      <w:szCs w:val="21"/>
                    </w:rPr>
                  </w:pPr>
                  <w:r>
                    <w:rPr>
                      <w:sz w:val="21"/>
                      <w:szCs w:val="21"/>
                    </w:rPr>
                    <w:t>4. Беременность с отягощенным акушерским анамнезом</w:t>
                  </w:r>
                </w:p>
                <w:p w:rsidR="00AC7D70" w:rsidRDefault="00622D94">
                  <w:pPr>
                    <w:pStyle w:val="a5"/>
                    <w:spacing w:before="0" w:beforeAutospacing="0" w:after="144" w:afterAutospacing="0"/>
                    <w:ind w:left="60" w:firstLine="384"/>
                    <w:jc w:val="both"/>
                    <w:rPr>
                      <w:sz w:val="21"/>
                      <w:szCs w:val="21"/>
                    </w:rPr>
                  </w:pPr>
                  <w:r>
                    <w:rPr>
                      <w:sz w:val="21"/>
                      <w:szCs w:val="21"/>
                    </w:rPr>
                    <w:t>5. Бесплодие неясного генеза.</w:t>
                  </w:r>
                </w:p>
                <w:p w:rsidR="00AC7D70" w:rsidRDefault="00622D94">
                  <w:pPr>
                    <w:pStyle w:val="a5"/>
                    <w:spacing w:before="0" w:beforeAutospacing="0" w:after="0" w:afterAutospacing="0"/>
                    <w:ind w:left="60" w:firstLine="384"/>
                    <w:jc w:val="both"/>
                    <w:rPr>
                      <w:sz w:val="21"/>
                      <w:szCs w:val="21"/>
                    </w:rPr>
                  </w:pPr>
                  <w:r>
                    <w:rPr>
                      <w:sz w:val="21"/>
                      <w:szCs w:val="21"/>
                    </w:rPr>
                    <w:t>Диагностическая информативность ПИФ связана с тем, что с ее помощью выявляются не только корпускулярные, но и растворимые антигены хламидий Этот метод не зависит от возможного изменения тинкториальных свойств микроорганизма в процессе заболевания и лечения. ПИФ-метод является важнейшим скриннинговым методом диагностики урогенитального хламидиоза. Его чувствительность и специфичность при использовании моноклональных антител составляет соответственно 65-90% и 85-90%. При оценке результатов следует учитывать, что только показатели внутриклеточной флюоресценции могут оцениваться в качестве положительного результата этого теста при использовании поликлональных антихламидийных антител, при использовании моноклональных - результат считают при наличии 10 ЭТ в поле зрения. Соскобные препараты готовят также, как и для цитоскопических исследований.</w:t>
                  </w:r>
                </w:p>
                <w:p w:rsidR="00AC7D70" w:rsidRDefault="00622D94">
                  <w:pPr>
                    <w:pStyle w:val="a5"/>
                    <w:spacing w:before="0" w:beforeAutospacing="0" w:after="0" w:afterAutospacing="0"/>
                    <w:ind w:left="60" w:firstLine="384"/>
                    <w:jc w:val="both"/>
                    <w:rPr>
                      <w:sz w:val="21"/>
                      <w:szCs w:val="21"/>
                    </w:rPr>
                  </w:pPr>
                  <w:r>
                    <w:rPr>
                      <w:sz w:val="21"/>
                      <w:szCs w:val="21"/>
                    </w:rPr>
                    <w:t>Выпускают диагностические наборы, содержащие моноклональные антитела для ПИФ, следующие фирмы: Syva, Drfco, Kallastad, Bartrels, Boots celltech, California Integrated Diagnostics, Orion Diagnostica. Реагенты фирм Syva, Difco, Kallastad представляют собой меченные ФИТЦ моноклональные антитела к основному белку наружной мембраны хламидий, а реагенты других фирм - моноклональные антитела к родоспецифическому хламидийному липолисахариду (ЛПС). В России ЗАО “НИАРМЕДИК плюс” при НИИЭМ им. Н.Ф. Гамалеи РАМН выпускает моноклональные антитела к ЛПС хламидий, которые успешно конкурируют с продукцией иностранных фирм по качеству продукции. Это набор “Хламоноскрин” для определения моноклональных антител к родоспецифическому липополисахаридному антигену и набор “Хламоноскрин-2” для определения моноклональных антител к видоспецифическому белковому антигену хламидий трахоматис. Наборы имеют ФС 42-359598 и регистрационное удостоверение Минздрава России 93/ 270/ 9 .</w:t>
                  </w:r>
                </w:p>
                <w:p w:rsidR="00AC7D70" w:rsidRDefault="00622D94">
                  <w:pPr>
                    <w:pStyle w:val="a5"/>
                    <w:spacing w:before="0" w:beforeAutospacing="0" w:after="0" w:afterAutospacing="0"/>
                    <w:ind w:left="60" w:firstLine="384"/>
                    <w:jc w:val="both"/>
                    <w:rPr>
                      <w:sz w:val="21"/>
                      <w:szCs w:val="21"/>
                    </w:rPr>
                  </w:pPr>
                  <w:r>
                    <w:rPr>
                      <w:sz w:val="21"/>
                      <w:szCs w:val="21"/>
                    </w:rPr>
                    <w:t>Моноклональные антитела отличаются друг от друга по вызываемой яркости свечения, постоянству выявляемых форм ЭТ и степени специфичности. Для диагностики хламидий этим методом необходим люминесцентный микроскоп.</w:t>
                  </w:r>
                </w:p>
                <w:p w:rsidR="00AC7D70" w:rsidRDefault="00622D94">
                  <w:pPr>
                    <w:pStyle w:val="a5"/>
                    <w:spacing w:before="0" w:beforeAutospacing="0" w:after="0" w:afterAutospacing="0"/>
                    <w:ind w:left="60" w:firstLine="384"/>
                    <w:jc w:val="both"/>
                    <w:rPr>
                      <w:sz w:val="21"/>
                      <w:szCs w:val="21"/>
                    </w:rPr>
                  </w:pPr>
                  <w:r>
                    <w:rPr>
                      <w:sz w:val="21"/>
                      <w:szCs w:val="21"/>
                    </w:rPr>
                    <w:t>В целом, метод ПИФ отвечает критериям высокой чувствительности и специфичности, но требует исполнения опытным, компетентным лабораторным работником.</w:t>
                  </w:r>
                </w:p>
                <w:p w:rsidR="00AC7D70" w:rsidRDefault="00622D94">
                  <w:pPr>
                    <w:pStyle w:val="a5"/>
                    <w:spacing w:before="0" w:beforeAutospacing="0" w:after="0" w:afterAutospacing="0"/>
                    <w:ind w:left="60" w:firstLine="384"/>
                    <w:jc w:val="both"/>
                    <w:rPr>
                      <w:sz w:val="21"/>
                      <w:szCs w:val="21"/>
                    </w:rPr>
                  </w:pPr>
                  <w:r>
                    <w:rPr>
                      <w:sz w:val="21"/>
                      <w:szCs w:val="21"/>
                    </w:rPr>
                    <w:t>Высококвалифицированная экспертная оценка методом ПИФ редко бывает доступной, поэтому средняя чувствительность его снижается. Метод недостаточно чувствителен и для стабильного определения малых количеств ЭТ. К тому же невозможно проверить и отрицательные результаты, и, следовательно, обнаружить среди них ложноотрицательные, что приводит к снижению чувствительности.</w:t>
                  </w:r>
                </w:p>
              </w:tc>
            </w:tr>
          </w:tbl>
          <w:p w:rsidR="00AC7D70" w:rsidRDefault="00AC7D70">
            <w:pPr>
              <w:spacing w:line="12" w:lineRule="atLeast"/>
              <w:jc w:val="both"/>
              <w:rPr>
                <w:sz w:val="21"/>
                <w:szCs w:val="21"/>
              </w:rPr>
            </w:pPr>
          </w:p>
        </w:tc>
      </w:tr>
      <w:tr w:rsidR="00AC7D70">
        <w:tblPrEx>
          <w:tblCellMar>
            <w:top w:w="0" w:type="dxa"/>
            <w:left w:w="0" w:type="dxa"/>
            <w:bottom w:w="0" w:type="dxa"/>
            <w:right w:w="0" w:type="dxa"/>
          </w:tblCellMar>
        </w:tblPrEx>
        <w:trPr>
          <w:gridAfter w:val="1"/>
          <w:wAfter w:w="824" w:type="dxa"/>
          <w:trHeight w:val="2158"/>
          <w:tblCellSpacing w:w="6" w:type="dxa"/>
          <w:hidden/>
        </w:trPr>
        <w:tc>
          <w:tcPr>
            <w:tcW w:w="7738" w:type="dxa"/>
            <w:tcMar>
              <w:top w:w="15" w:type="dxa"/>
              <w:left w:w="15" w:type="dxa"/>
              <w:bottom w:w="15" w:type="dxa"/>
              <w:right w:w="15" w:type="dxa"/>
            </w:tcMar>
          </w:tcPr>
          <w:p w:rsidR="00AC7D70" w:rsidRDefault="00AC7D70">
            <w:pPr>
              <w:jc w:val="both"/>
              <w:rPr>
                <w:vanish/>
                <w:sz w:val="21"/>
                <w:szCs w:val="21"/>
              </w:rPr>
            </w:pPr>
          </w:p>
          <w:tbl>
            <w:tblPr>
              <w:tblW w:w="7656" w:type="dxa"/>
              <w:jc w:val="center"/>
              <w:tblCellSpacing w:w="6" w:type="dxa"/>
              <w:tblCellMar>
                <w:top w:w="108" w:type="dxa"/>
                <w:bottom w:w="108" w:type="dxa"/>
              </w:tblCellMar>
              <w:tblLook w:val="0000" w:firstRow="0" w:lastRow="0" w:firstColumn="0" w:lastColumn="0" w:noHBand="0" w:noVBand="0"/>
            </w:tblPr>
            <w:tblGrid>
              <w:gridCol w:w="7656"/>
            </w:tblGrid>
            <w:tr w:rsidR="00AC7D70">
              <w:trPr>
                <w:trHeight w:val="2031"/>
                <w:tblCellSpacing w:w="6" w:type="dxa"/>
                <w:jc w:val="center"/>
              </w:trPr>
              <w:tc>
                <w:tcPr>
                  <w:tcW w:w="7632" w:type="dxa"/>
                </w:tcPr>
                <w:p w:rsidR="00AC7D70" w:rsidRDefault="00622D94">
                  <w:pPr>
                    <w:pStyle w:val="a5"/>
                    <w:jc w:val="center"/>
                    <w:rPr>
                      <w:i/>
                      <w:iCs/>
                      <w:szCs w:val="21"/>
                    </w:rPr>
                  </w:pPr>
                  <w:r>
                    <w:rPr>
                      <w:i/>
                      <w:iCs/>
                      <w:szCs w:val="21"/>
                    </w:rPr>
                    <w:t>Иммуноморфологические методы</w:t>
                  </w:r>
                </w:p>
                <w:p w:rsidR="00AC7D70" w:rsidRDefault="00622D94">
                  <w:pPr>
                    <w:pStyle w:val="a5"/>
                    <w:ind w:left="60" w:firstLine="384"/>
                    <w:jc w:val="both"/>
                    <w:rPr>
                      <w:sz w:val="21"/>
                      <w:szCs w:val="21"/>
                    </w:rPr>
                  </w:pPr>
                  <w:r>
                    <w:rPr>
                      <w:sz w:val="21"/>
                      <w:szCs w:val="21"/>
                    </w:rPr>
                    <w:t>Эти методы основаны на обнаружении антигенных субстанций хламидий в эпителии и других тканях путем обработки препаратов специфическими антителами. Антитела диагностической антихламидийной сыворотки соединены с какой-либо меткой - люминесцирующей (ФИТЦ-антитела) или ферментной (энзим-меченые антитела).</w:t>
                  </w:r>
                  <w:r>
                    <w:rPr>
                      <w:color w:val="000000"/>
                      <w:sz w:val="21"/>
                      <w:szCs w:val="21"/>
                    </w:rPr>
                    <w:t xml:space="preserve"> </w:t>
                  </w:r>
                </w:p>
              </w:tc>
            </w:tr>
          </w:tbl>
          <w:p w:rsidR="00AC7D70" w:rsidRDefault="00AC7D70">
            <w:pPr>
              <w:spacing w:line="12" w:lineRule="atLeast"/>
              <w:jc w:val="both"/>
              <w:rPr>
                <w:sz w:val="21"/>
                <w:szCs w:val="21"/>
              </w:rPr>
            </w:pPr>
          </w:p>
        </w:tc>
      </w:tr>
      <w:tr w:rsidR="00AC7D70">
        <w:trPr>
          <w:gridAfter w:val="1"/>
          <w:wAfter w:w="824" w:type="dxa"/>
          <w:trHeight w:val="12"/>
          <w:tblCellSpacing w:w="6" w:type="dxa"/>
          <w:hidden/>
        </w:trPr>
        <w:tc>
          <w:tcPr>
            <w:tcW w:w="7738" w:type="dxa"/>
          </w:tcPr>
          <w:p w:rsidR="00AC7D70" w:rsidRDefault="00AC7D70">
            <w:pPr>
              <w:jc w:val="both"/>
              <w:rPr>
                <w:vanish/>
                <w:sz w:val="21"/>
                <w:szCs w:val="21"/>
              </w:rPr>
            </w:pPr>
          </w:p>
          <w:tbl>
            <w:tblPr>
              <w:tblW w:w="7656" w:type="dxa"/>
              <w:jc w:val="center"/>
              <w:tblCellSpacing w:w="6" w:type="dxa"/>
              <w:tblCellMar>
                <w:top w:w="108" w:type="dxa"/>
                <w:bottom w:w="108" w:type="dxa"/>
              </w:tblCellMar>
              <w:tblLook w:val="0000" w:firstRow="0" w:lastRow="0" w:firstColumn="0" w:lastColumn="0" w:noHBand="0" w:noVBand="0"/>
            </w:tblPr>
            <w:tblGrid>
              <w:gridCol w:w="7656"/>
            </w:tblGrid>
            <w:tr w:rsidR="00AC7D70">
              <w:trPr>
                <w:trHeight w:val="2664"/>
                <w:tblCellSpacing w:w="6" w:type="dxa"/>
                <w:jc w:val="center"/>
              </w:trPr>
              <w:tc>
                <w:tcPr>
                  <w:tcW w:w="7632" w:type="dxa"/>
                </w:tcPr>
                <w:p w:rsidR="00AC7D70" w:rsidRDefault="00622D94">
                  <w:pPr>
                    <w:pStyle w:val="a5"/>
                    <w:jc w:val="center"/>
                    <w:rPr>
                      <w:i/>
                      <w:iCs/>
                      <w:szCs w:val="21"/>
                    </w:rPr>
                  </w:pPr>
                  <w:r>
                    <w:rPr>
                      <w:i/>
                      <w:iCs/>
                      <w:szCs w:val="21"/>
                    </w:rPr>
                    <w:t>Непрямой метод иммунофлюресценциии</w:t>
                  </w:r>
                </w:p>
                <w:p w:rsidR="00AC7D70" w:rsidRDefault="00622D94">
                  <w:pPr>
                    <w:pStyle w:val="a5"/>
                    <w:ind w:left="60" w:firstLine="384"/>
                    <w:jc w:val="both"/>
                    <w:rPr>
                      <w:sz w:val="21"/>
                      <w:szCs w:val="21"/>
                    </w:rPr>
                  </w:pPr>
                  <w:r>
                    <w:rPr>
                      <w:sz w:val="21"/>
                      <w:szCs w:val="21"/>
                    </w:rPr>
                    <w:t>Непрямой метод иммунофлюресценции применяют в тех случаях, когда нет в наличии ФИТЦ-конъюгата антихламидийных антител. В этих случаях приготовленный тем же методом, что и для ПИФ препарат из клинических проб обрабатывают вначале антихламидийными антителами, полученными путем иммунизации хламидиями овец, кроликов, мышей или других животных, а затем второй сывороткой, специфичной для вида животного, которое было иммунизировано хламидиями. Антитела второй сыворотки конъюгированы с ФИТЦ. Показания к применению и специфичность данного метода совпадают с ПИФ.</w:t>
                  </w:r>
                </w:p>
              </w:tc>
            </w:tr>
          </w:tbl>
          <w:p w:rsidR="00AC7D70" w:rsidRDefault="00AC7D70">
            <w:pPr>
              <w:spacing w:line="12" w:lineRule="atLeast"/>
              <w:jc w:val="both"/>
              <w:rPr>
                <w:sz w:val="21"/>
                <w:szCs w:val="21"/>
              </w:rPr>
            </w:pPr>
          </w:p>
        </w:tc>
      </w:tr>
      <w:tr w:rsidR="00AC7D70">
        <w:trPr>
          <w:gridAfter w:val="1"/>
          <w:wAfter w:w="824" w:type="dxa"/>
          <w:trHeight w:val="12"/>
          <w:tblCellSpacing w:w="6" w:type="dxa"/>
          <w:hidden/>
        </w:trPr>
        <w:tc>
          <w:tcPr>
            <w:tcW w:w="7738" w:type="dxa"/>
          </w:tcPr>
          <w:p w:rsidR="00AC7D70" w:rsidRDefault="00AC7D70">
            <w:pPr>
              <w:jc w:val="both"/>
              <w:rPr>
                <w:vanish/>
                <w:sz w:val="21"/>
                <w:szCs w:val="21"/>
              </w:rPr>
            </w:pPr>
          </w:p>
          <w:tbl>
            <w:tblPr>
              <w:tblW w:w="7656" w:type="dxa"/>
              <w:jc w:val="center"/>
              <w:tblCellSpacing w:w="6" w:type="dxa"/>
              <w:tblCellMar>
                <w:top w:w="108" w:type="dxa"/>
                <w:bottom w:w="108" w:type="dxa"/>
              </w:tblCellMar>
              <w:tblLook w:val="0000" w:firstRow="0" w:lastRow="0" w:firstColumn="0" w:lastColumn="0" w:noHBand="0" w:noVBand="0"/>
            </w:tblPr>
            <w:tblGrid>
              <w:gridCol w:w="7656"/>
            </w:tblGrid>
            <w:tr w:rsidR="00AC7D70">
              <w:trPr>
                <w:trHeight w:val="749"/>
                <w:tblCellSpacing w:w="6" w:type="dxa"/>
                <w:jc w:val="center"/>
              </w:trPr>
              <w:tc>
                <w:tcPr>
                  <w:tcW w:w="7632" w:type="dxa"/>
                </w:tcPr>
                <w:p w:rsidR="00AC7D70" w:rsidRDefault="00622D94">
                  <w:pPr>
                    <w:pStyle w:val="a5"/>
                    <w:jc w:val="center"/>
                    <w:rPr>
                      <w:i/>
                      <w:iCs/>
                      <w:szCs w:val="21"/>
                    </w:rPr>
                  </w:pPr>
                  <w:r>
                    <w:rPr>
                      <w:i/>
                      <w:iCs/>
                      <w:szCs w:val="21"/>
                    </w:rPr>
                    <w:t>Методы иммуноферментного анализа</w:t>
                  </w:r>
                </w:p>
                <w:p w:rsidR="00AC7D70" w:rsidRDefault="00622D94">
                  <w:pPr>
                    <w:pStyle w:val="a5"/>
                    <w:spacing w:before="0" w:beforeAutospacing="0" w:after="0" w:afterAutospacing="0"/>
                    <w:ind w:left="60" w:firstLine="384"/>
                    <w:jc w:val="both"/>
                    <w:rPr>
                      <w:sz w:val="21"/>
                      <w:szCs w:val="21"/>
                    </w:rPr>
                  </w:pPr>
                  <w:r>
                    <w:rPr>
                      <w:sz w:val="21"/>
                      <w:szCs w:val="21"/>
                    </w:rPr>
                    <w:t>Эти методы основаны на обнаружении растворимого антигена хламидий в исследуемых пробах. Чаще используются наборы реактивов Imx Select Хламидия (Abbott Laboratories) и Chlamydia-antigen Elisa (Medac Diagnostica).</w:t>
                  </w:r>
                </w:p>
                <w:p w:rsidR="00AC7D70" w:rsidRDefault="00622D94">
                  <w:pPr>
                    <w:pStyle w:val="a5"/>
                    <w:spacing w:before="0" w:beforeAutospacing="0" w:after="0" w:afterAutospacing="0"/>
                    <w:ind w:left="60" w:firstLine="384"/>
                    <w:jc w:val="both"/>
                    <w:rPr>
                      <w:sz w:val="21"/>
                      <w:szCs w:val="21"/>
                    </w:rPr>
                  </w:pPr>
                  <w:r>
                    <w:rPr>
                      <w:sz w:val="21"/>
                      <w:szCs w:val="21"/>
                    </w:rPr>
                    <w:t>Тест Imx Select Хламидия основан на технологии ИФА-анализа на микрочастицах (МИФА) и предназначен для качественного определения липолисахаридного антигена С. trachomatis в эндоцервикальных и уретральных мазках на анализаторе Imx. Данный набор содержит компоненты, полученные из человеческого материала, что обуславливает соблюдение при работе правил биологической безопасности.</w:t>
                  </w:r>
                </w:p>
                <w:p w:rsidR="00AC7D70" w:rsidRDefault="00622D94">
                  <w:pPr>
                    <w:pStyle w:val="a5"/>
                    <w:spacing w:before="0" w:beforeAutospacing="0" w:after="0" w:afterAutospacing="0"/>
                    <w:ind w:left="60" w:firstLine="384"/>
                    <w:jc w:val="both"/>
                    <w:rPr>
                      <w:sz w:val="21"/>
                      <w:szCs w:val="21"/>
                    </w:rPr>
                  </w:pPr>
                  <w:r>
                    <w:rPr>
                      <w:sz w:val="21"/>
                      <w:szCs w:val="21"/>
                    </w:rPr>
                    <w:t>Узел пробоотборник/электрод добавляет микрочастицы в лунку, содержащую образец. Предварительно экстрагированный липолисахаридный антиген (ЛПС) образца связывается с микрочастицами. Аликвота реакционной смеси, содержащей комплексы микрочастиц с ЛПС-антигеном, переносится на стекловолокнистый матрикс реакционной ячейки. Микрочастицы необратимо связываются с матриксом. К матриксу добавляются кроличьи антитела против хламидий. Они связываются с ЛПС антигеном. Биотинилированные козьи анти-кроличьи антитела добавляются к матриксу и связываются с комплексом анти-хламидия/ЛПС антиген. К матриксу добавляется конъюгат щелочной фосфатазы и антител против биотина. Происходит связывание конъюгата с комплексом антиген/антитело. После удаления не связавшегося материала промыванием к матриксу добавляется субстрат 4-метилумбеллиферилфосфат. Образование флуоресцирующего продукта измеряется в оптическом узле МИФА.</w:t>
                  </w:r>
                </w:p>
                <w:p w:rsidR="00AC7D70" w:rsidRDefault="00622D94">
                  <w:pPr>
                    <w:pStyle w:val="a5"/>
                    <w:spacing w:before="0" w:beforeAutospacing="0" w:after="0" w:afterAutospacing="0"/>
                    <w:ind w:left="60" w:firstLine="384"/>
                    <w:jc w:val="both"/>
                    <w:rPr>
                      <w:sz w:val="21"/>
                      <w:szCs w:val="21"/>
                    </w:rPr>
                  </w:pPr>
                  <w:r>
                    <w:rPr>
                      <w:sz w:val="21"/>
                      <w:szCs w:val="21"/>
                    </w:rPr>
                    <w:t>Тест-система Chlamydia-Antigen-ELISA medac (регистрационное удостоверение Минздрава РФ 97/128 от 07.02.97 г.) является экономным и в то же время достаточно специфичным и чувствительным методом в рутинной диагностике хламидийной инфекции. Этот тест представляет собой метод твердофазного ИФА-анализа для определения антигенов хламидий. Твердая фаза покрыта хламидийными моноклональными антителами установленной специфичности. Амплификация достигается с использованием технологии полимерной конъюгации, в результате чего происходит фиксация, при которой на каждый связанный участок антигена приходится полимерный комплекс с высокомолекулярным фрагментом. Кроме того, амплификация выполняется на стадии обозначенного воспроизведения с использованием запатентованной технологии фермент-амплификации. Визуально положительные пробы окрашиваются в желто-оранжевый цвет. Интенсивность окраски пропорциональна количеству антигена хламидий. Точный результат исследования определяют с помощью микроЭВМ, спектрофотометра “Мультискан” или другого аппарата для ИФА при длине волны 492 нм. Образцы дающие значения поглощения выше или равные значению отсекающего поглощения (cut-off), считаются положительными для хламидий. Чувствительность и специфичность ИФ методов соответственно составляет 65-70% и 90-100% . Показания к применению такие же, как и для метода прямой иммунофлюресценции. Выявление в сыворотке крови антител к липополисахаридному антигену хламидий классов Ig G, Ig A, Ig M с определением их титра позволяет определить стадию заболевания, обосновать необходимость антибактериального лечения и оценить его эффективность.</w:t>
                  </w:r>
                </w:p>
                <w:p w:rsidR="00AC7D70" w:rsidRDefault="00622D94">
                  <w:pPr>
                    <w:pStyle w:val="a5"/>
                    <w:spacing w:before="180" w:beforeAutospacing="0" w:after="72" w:afterAutospacing="0"/>
                    <w:ind w:left="60" w:firstLine="384"/>
                    <w:jc w:val="both"/>
                    <w:rPr>
                      <w:sz w:val="21"/>
                      <w:szCs w:val="21"/>
                    </w:rPr>
                  </w:pPr>
                  <w:r>
                    <w:rPr>
                      <w:sz w:val="21"/>
                      <w:szCs w:val="21"/>
                    </w:rPr>
                    <w:t>Показания к выявлению антихламидийных антител классов Ig G, Ig А, Ig M в сыворотке крови методом ИФА</w:t>
                  </w:r>
                </w:p>
                <w:p w:rsidR="00AC7D70" w:rsidRDefault="00622D94">
                  <w:pPr>
                    <w:pStyle w:val="a5"/>
                    <w:spacing w:before="0" w:beforeAutospacing="0" w:after="0" w:afterAutospacing="0"/>
                    <w:ind w:left="60" w:firstLine="384"/>
                    <w:jc w:val="both"/>
                    <w:rPr>
                      <w:sz w:val="21"/>
                      <w:szCs w:val="21"/>
                    </w:rPr>
                  </w:pPr>
                  <w:r>
                    <w:rPr>
                      <w:sz w:val="21"/>
                      <w:szCs w:val="21"/>
                    </w:rPr>
                    <w:t>1. Определение стадии заболевания;</w:t>
                  </w:r>
                </w:p>
                <w:p w:rsidR="00AC7D70" w:rsidRDefault="00622D94">
                  <w:pPr>
                    <w:pStyle w:val="a5"/>
                    <w:spacing w:before="0" w:beforeAutospacing="0" w:after="0" w:afterAutospacing="0"/>
                    <w:ind w:left="60" w:firstLine="384"/>
                    <w:jc w:val="both"/>
                    <w:rPr>
                      <w:sz w:val="21"/>
                      <w:szCs w:val="21"/>
                    </w:rPr>
                  </w:pPr>
                  <w:r>
                    <w:rPr>
                      <w:sz w:val="21"/>
                      <w:szCs w:val="21"/>
                    </w:rPr>
                    <w:t>-острая, первичная;</w:t>
                  </w:r>
                </w:p>
                <w:p w:rsidR="00AC7D70" w:rsidRDefault="00622D94">
                  <w:pPr>
                    <w:pStyle w:val="a5"/>
                    <w:spacing w:before="0" w:beforeAutospacing="0" w:after="0" w:afterAutospacing="0"/>
                    <w:ind w:left="60" w:firstLine="384"/>
                    <w:jc w:val="both"/>
                    <w:rPr>
                      <w:sz w:val="21"/>
                      <w:szCs w:val="21"/>
                    </w:rPr>
                  </w:pPr>
                  <w:r>
                    <w:rPr>
                      <w:sz w:val="21"/>
                      <w:szCs w:val="21"/>
                    </w:rPr>
                    <w:t>-хроническая;</w:t>
                  </w:r>
                </w:p>
                <w:p w:rsidR="00AC7D70" w:rsidRDefault="00622D94">
                  <w:pPr>
                    <w:pStyle w:val="a5"/>
                    <w:spacing w:before="0" w:beforeAutospacing="0" w:after="0" w:afterAutospacing="0"/>
                    <w:ind w:left="60" w:firstLine="384"/>
                    <w:jc w:val="both"/>
                    <w:rPr>
                      <w:sz w:val="21"/>
                      <w:szCs w:val="21"/>
                    </w:rPr>
                  </w:pPr>
                  <w:r>
                    <w:rPr>
                      <w:sz w:val="21"/>
                      <w:szCs w:val="21"/>
                    </w:rPr>
                    <w:t>-реактивация или реинфекция;</w:t>
                  </w:r>
                </w:p>
                <w:p w:rsidR="00AC7D70" w:rsidRDefault="00622D94">
                  <w:pPr>
                    <w:pStyle w:val="a5"/>
                    <w:spacing w:before="0" w:beforeAutospacing="0" w:after="0" w:afterAutospacing="0"/>
                    <w:ind w:left="60" w:firstLine="384"/>
                    <w:jc w:val="both"/>
                    <w:rPr>
                      <w:sz w:val="21"/>
                      <w:szCs w:val="21"/>
                    </w:rPr>
                  </w:pPr>
                  <w:r>
                    <w:rPr>
                      <w:sz w:val="21"/>
                      <w:szCs w:val="21"/>
                    </w:rPr>
                    <w:t>-состояние после реконвалесценции (остаточная серология).</w:t>
                  </w:r>
                </w:p>
                <w:p w:rsidR="00AC7D70" w:rsidRDefault="00622D94">
                  <w:pPr>
                    <w:pStyle w:val="a5"/>
                    <w:spacing w:before="0" w:beforeAutospacing="0" w:after="0" w:afterAutospacing="0"/>
                    <w:ind w:left="60" w:firstLine="384"/>
                    <w:jc w:val="both"/>
                    <w:rPr>
                      <w:sz w:val="21"/>
                      <w:szCs w:val="21"/>
                    </w:rPr>
                  </w:pPr>
                  <w:r>
                    <w:rPr>
                      <w:sz w:val="21"/>
                      <w:szCs w:val="21"/>
                    </w:rPr>
                    <w:t>2.Оценка эффективности проводимого лечения (наряду с исследованием методами ПЦР, культурального посева).</w:t>
                  </w:r>
                </w:p>
                <w:p w:rsidR="00AC7D70" w:rsidRDefault="00622D94">
                  <w:pPr>
                    <w:pStyle w:val="a5"/>
                    <w:spacing w:before="0" w:beforeAutospacing="0" w:after="0" w:afterAutospacing="0"/>
                    <w:ind w:left="60" w:firstLine="384"/>
                    <w:jc w:val="both"/>
                    <w:rPr>
                      <w:sz w:val="21"/>
                      <w:szCs w:val="21"/>
                    </w:rPr>
                  </w:pPr>
                  <w:r>
                    <w:rPr>
                      <w:sz w:val="21"/>
                      <w:szCs w:val="21"/>
                    </w:rPr>
                    <w:t>3.Установление хламидийной этиологии экстрагенитальных поражений (артриты, пневмонии, заболевания глаз).</w:t>
                  </w:r>
                </w:p>
                <w:p w:rsidR="00AC7D70" w:rsidRDefault="00622D94">
                  <w:pPr>
                    <w:pStyle w:val="a5"/>
                    <w:spacing w:before="0" w:beforeAutospacing="0" w:after="0" w:afterAutospacing="0"/>
                    <w:ind w:left="60" w:firstLine="384"/>
                    <w:jc w:val="both"/>
                    <w:rPr>
                      <w:sz w:val="21"/>
                      <w:szCs w:val="21"/>
                    </w:rPr>
                  </w:pPr>
                  <w:r>
                    <w:rPr>
                      <w:sz w:val="21"/>
                      <w:szCs w:val="21"/>
                    </w:rPr>
                    <w:t xml:space="preserve">Сравнивая различные диагностические наборы, мы рекомендуем использовать тест-систему r-Elisa фирмы MEDAC DIAGNOSTICA (Германия). Регистрационное удостоверение Минздрава РФ 97 от 7.02.97 г. Это иммуноферментные наборы для выявления антихламидийных антител классов Ig G, Ig A, Ig M с определением их количественного титра в сыворотке крови по одной точке. Антиген получен методами генной инженерии. В качестве антигена твердой фазы используется специфические рекомбинантные липополисахаридные фрагменты хламидий, отсутствующие в липополисахаридах других бактерий. Выбирая тест-систему, где в качестве антигена используются липополисахаридные фракции, мы исходили из предположения, что обследуемое лицо может в течении жизни подвергаться инфицированию не только </w:t>
                  </w:r>
                  <w:r>
                    <w:rPr>
                      <w:i/>
                      <w:iCs/>
                      <w:sz w:val="21"/>
                      <w:szCs w:val="21"/>
                    </w:rPr>
                    <w:t>C.trachomatis,</w:t>
                  </w:r>
                  <w:r>
                    <w:rPr>
                      <w:sz w:val="21"/>
                      <w:szCs w:val="21"/>
                    </w:rPr>
                    <w:t xml:space="preserve"> но и </w:t>
                  </w:r>
                  <w:r>
                    <w:rPr>
                      <w:i/>
                      <w:iCs/>
                      <w:sz w:val="21"/>
                      <w:szCs w:val="21"/>
                    </w:rPr>
                    <w:t>С.pneumonia ,</w:t>
                  </w:r>
                  <w:r>
                    <w:rPr>
                      <w:sz w:val="21"/>
                      <w:szCs w:val="21"/>
                    </w:rPr>
                    <w:t xml:space="preserve"> и </w:t>
                  </w:r>
                  <w:r>
                    <w:rPr>
                      <w:i/>
                      <w:iCs/>
                      <w:sz w:val="21"/>
                      <w:szCs w:val="21"/>
                    </w:rPr>
                    <w:t>C.psitacci с</w:t>
                  </w:r>
                  <w:r>
                    <w:rPr>
                      <w:sz w:val="21"/>
                      <w:szCs w:val="21"/>
                    </w:rPr>
                    <w:t xml:space="preserve"> выработкой к ним соответствующих антител. Выявление их количественного титра и его динамики является важнейшим показателем эффективности проводимого лечения.</w:t>
                  </w:r>
                </w:p>
                <w:p w:rsidR="00AC7D70" w:rsidRDefault="00622D94">
                  <w:pPr>
                    <w:pStyle w:val="a5"/>
                    <w:spacing w:before="0" w:beforeAutospacing="0" w:after="0" w:afterAutospacing="0"/>
                    <w:ind w:left="60" w:firstLine="384"/>
                    <w:jc w:val="both"/>
                    <w:rPr>
                      <w:sz w:val="21"/>
                      <w:szCs w:val="21"/>
                    </w:rPr>
                  </w:pPr>
                  <w:r>
                    <w:rPr>
                      <w:sz w:val="21"/>
                      <w:szCs w:val="21"/>
                    </w:rPr>
                    <w:t>В промежутке между пятым и двадцатым днями после появления клинических симптомов заболевания последовательно возникают антитела этих трех классов к специфическому хламидийному липополисахариду. Ig M является маркером острой стадии, он определяется уже через пять дней после начала заболевания. Изменения продуцирования Ig M на определяемое продуцирование Ig А может происходить в течение 10 дней после появления симптомов заболевания. В течение короткого периода могут одновременно присутствовать Ig M и Ig А. В это же время или с небольшой задержкой - 2-3 недели могут быть определены Ig G. Прогрессирование заболевания, переход в хроническую стадию характеризуется появлением Ig A. Ig G- антител (смотри таблицу 3).</w:t>
                  </w:r>
                </w:p>
                <w:p w:rsidR="00AC7D70" w:rsidRDefault="00622D94">
                  <w:pPr>
                    <w:pStyle w:val="a5"/>
                    <w:jc w:val="both"/>
                    <w:rPr>
                      <w:sz w:val="21"/>
                      <w:szCs w:val="21"/>
                    </w:rPr>
                  </w:pPr>
                  <w:r>
                    <w:rPr>
                      <w:sz w:val="21"/>
                      <w:szCs w:val="21"/>
                    </w:rPr>
                    <w:t>Таблица 3. Определение стадии заболевания на основании выявления антител классов Ig G, Ig A, Ig M</w:t>
                  </w:r>
                </w:p>
                <w:tbl>
                  <w:tblPr>
                    <w:tblW w:w="7296" w:type="dxa"/>
                    <w:tblCellSpacing w:w="6" w:type="dxa"/>
                    <w:tblBorders>
                      <w:top w:val="outset" w:sz="6" w:space="0" w:color="auto"/>
                      <w:left w:val="outset" w:sz="6" w:space="0" w:color="auto"/>
                      <w:bottom w:val="outset" w:sz="6" w:space="0" w:color="auto"/>
                      <w:right w:val="outset" w:sz="6" w:space="0" w:color="auto"/>
                    </w:tblBorders>
                    <w:tblCellMar>
                      <w:top w:w="84" w:type="dxa"/>
                      <w:left w:w="84" w:type="dxa"/>
                      <w:bottom w:w="84" w:type="dxa"/>
                      <w:right w:w="84" w:type="dxa"/>
                    </w:tblCellMar>
                    <w:tblLook w:val="0000" w:firstRow="0" w:lastRow="0" w:firstColumn="0" w:lastColumn="0" w:noHBand="0" w:noVBand="0"/>
                  </w:tblPr>
                  <w:tblGrid>
                    <w:gridCol w:w="3737"/>
                    <w:gridCol w:w="3559"/>
                  </w:tblGrid>
                  <w:tr w:rsidR="00AC7D70">
                    <w:trPr>
                      <w:tblCellSpacing w:w="6" w:type="dxa"/>
                    </w:trPr>
                    <w:tc>
                      <w:tcPr>
                        <w:tcW w:w="3492"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Стадия заболевания</w:t>
                        </w:r>
                      </w:p>
                    </w:tc>
                    <w:tc>
                      <w:tcPr>
                        <w:tcW w:w="3324"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Классы антител</w:t>
                        </w:r>
                      </w:p>
                    </w:tc>
                  </w:tr>
                  <w:tr w:rsidR="00AC7D70">
                    <w:trPr>
                      <w:tblCellSpacing w:w="6" w:type="dxa"/>
                    </w:trPr>
                    <w:tc>
                      <w:tcPr>
                        <w:tcW w:w="3492"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Острая</w:t>
                        </w:r>
                      </w:p>
                    </w:tc>
                    <w:tc>
                      <w:tcPr>
                        <w:tcW w:w="3324"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Ig G, Ig А, Ig M</w:t>
                        </w:r>
                      </w:p>
                    </w:tc>
                  </w:tr>
                  <w:tr w:rsidR="00AC7D70">
                    <w:trPr>
                      <w:tblCellSpacing w:w="6" w:type="dxa"/>
                    </w:trPr>
                    <w:tc>
                      <w:tcPr>
                        <w:tcW w:w="3492"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Хроническая</w:t>
                        </w:r>
                      </w:p>
                    </w:tc>
                    <w:tc>
                      <w:tcPr>
                        <w:tcW w:w="3324"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Ig A*, Ig G</w:t>
                        </w:r>
                      </w:p>
                    </w:tc>
                  </w:tr>
                  <w:tr w:rsidR="00AC7D70">
                    <w:trPr>
                      <w:tblCellSpacing w:w="6" w:type="dxa"/>
                    </w:trPr>
                    <w:tc>
                      <w:tcPr>
                        <w:tcW w:w="3492"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Реактивация или реинфекция</w:t>
                        </w:r>
                      </w:p>
                    </w:tc>
                    <w:tc>
                      <w:tcPr>
                        <w:tcW w:w="3324"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lang w:val="en-US"/>
                          </w:rPr>
                        </w:pPr>
                        <w:r>
                          <w:rPr>
                            <w:sz w:val="21"/>
                            <w:szCs w:val="21"/>
                            <w:lang w:val="en-US"/>
                          </w:rPr>
                          <w:t>Ig A*, Ig M</w:t>
                        </w:r>
                      </w:p>
                    </w:tc>
                  </w:tr>
                  <w:tr w:rsidR="00AC7D70">
                    <w:trPr>
                      <w:tblCellSpacing w:w="6" w:type="dxa"/>
                    </w:trPr>
                    <w:tc>
                      <w:tcPr>
                        <w:tcW w:w="3492"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Состояние после реконвалесценции</w:t>
                        </w:r>
                      </w:p>
                    </w:tc>
                    <w:tc>
                      <w:tcPr>
                        <w:tcW w:w="3324"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Ig G</w:t>
                        </w:r>
                      </w:p>
                    </w:tc>
                  </w:tr>
                </w:tbl>
                <w:p w:rsidR="00AC7D70" w:rsidRDefault="00622D94">
                  <w:pPr>
                    <w:pStyle w:val="a5"/>
                    <w:ind w:left="60"/>
                    <w:jc w:val="both"/>
                    <w:rPr>
                      <w:sz w:val="21"/>
                      <w:szCs w:val="21"/>
                    </w:rPr>
                  </w:pPr>
                  <w:r>
                    <w:rPr>
                      <w:sz w:val="21"/>
                      <w:szCs w:val="21"/>
                    </w:rPr>
                    <w:t>*-при недостоверном определении титра Ig А подтверждение осуществляется при помощи определения Ig M.</w:t>
                  </w:r>
                </w:p>
                <w:p w:rsidR="00AC7D70" w:rsidRDefault="00622D94">
                  <w:pPr>
                    <w:pStyle w:val="a5"/>
                    <w:spacing w:before="0" w:beforeAutospacing="0" w:after="0" w:afterAutospacing="0"/>
                    <w:ind w:left="60" w:firstLine="384"/>
                    <w:jc w:val="both"/>
                    <w:rPr>
                      <w:sz w:val="21"/>
                      <w:szCs w:val="21"/>
                    </w:rPr>
                  </w:pPr>
                  <w:r>
                    <w:rPr>
                      <w:sz w:val="21"/>
                      <w:szCs w:val="21"/>
                    </w:rPr>
                    <w:t>Для адекватной интерпретации результатов серодиагностики хламидиоза следует определять такое понятие как 'пограничные титры Это наименьшие возможные разведения в которых тест-системы определяют антитела против хламидий. “Пограничные титры” для Ig M - 1:50, Ig А-1:50, Ig G-1:100. Так называемые “диагностические титры” могут подтверждать клинический диагноз, стадию процесса необходимость назначения антибактериального лечения (смотри таблицу 4). При реинфекции и реактивации происходит скачкообразный подъем титров Ig G изменения титра Ig А идут параллельно с титром Ig M однако на более низком уровне. У лиц, не получающих в период реинфекции лечения, титр Ig G сохраняется на неизменном уровне. Выявление на протяжении длительного периода титра только Ig G указывает на состояние реконвалесценции после перенесенной хламидийной инфекции (“серологические шрамы”). Исследуя титры антител Ig G, Ig A, Ig M можно оценивать эффективность проведенного лечения в отдаленном периоде (через 1-1,5 месяца).</w:t>
                  </w:r>
                </w:p>
                <w:p w:rsidR="00AC7D70" w:rsidRDefault="00622D94">
                  <w:pPr>
                    <w:pStyle w:val="a5"/>
                    <w:spacing w:before="0" w:beforeAutospacing="0" w:after="0" w:afterAutospacing="0"/>
                    <w:ind w:left="60" w:firstLine="384"/>
                    <w:jc w:val="both"/>
                    <w:rPr>
                      <w:sz w:val="21"/>
                      <w:szCs w:val="21"/>
                    </w:rPr>
                  </w:pPr>
                  <w:r>
                    <w:rPr>
                      <w:sz w:val="21"/>
                      <w:szCs w:val="21"/>
                    </w:rPr>
                    <w:t>В табл. 5-17 показана возможность определения стадии инфекционного процесса, показаний к антибактериальному лечению и вынесения заключения о наличии хламидииной инфекции на основании однократного или динамического определения титров антител IgG, IgA, IgM.</w:t>
                  </w:r>
                </w:p>
                <w:p w:rsidR="00AC7D70" w:rsidRDefault="00622D94">
                  <w:pPr>
                    <w:pStyle w:val="a5"/>
                    <w:spacing w:before="216" w:beforeAutospacing="0" w:after="72" w:afterAutospacing="0"/>
                    <w:ind w:left="60"/>
                    <w:jc w:val="both"/>
                    <w:rPr>
                      <w:sz w:val="21"/>
                      <w:szCs w:val="21"/>
                    </w:rPr>
                  </w:pPr>
                  <w:r>
                    <w:rPr>
                      <w:sz w:val="21"/>
                      <w:szCs w:val="21"/>
                    </w:rPr>
                    <w:t>Таблица 4. Диагностический диапазон титров антител Ig G, Ig А, IgM. Выявление на основе его оценки стадии заболевания, обоснованности назначения антибактериального лечения.</w:t>
                  </w:r>
                </w:p>
                <w:tbl>
                  <w:tblPr>
                    <w:tblW w:w="7092" w:type="dxa"/>
                    <w:tblCellSpacing w:w="6"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000" w:firstRow="0" w:lastRow="0" w:firstColumn="0" w:lastColumn="0" w:noHBand="0" w:noVBand="0"/>
                  </w:tblPr>
                  <w:tblGrid>
                    <w:gridCol w:w="2514"/>
                    <w:gridCol w:w="1482"/>
                    <w:gridCol w:w="1469"/>
                    <w:gridCol w:w="1627"/>
                  </w:tblGrid>
                  <w:tr w:rsidR="00AC7D70">
                    <w:trPr>
                      <w:trHeight w:val="444"/>
                      <w:tblCellSpacing w:w="6" w:type="dxa"/>
                    </w:trPr>
                    <w:tc>
                      <w:tcPr>
                        <w:tcW w:w="2364"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Стадия заболевания</w:t>
                        </w:r>
                      </w:p>
                    </w:tc>
                    <w:tc>
                      <w:tcPr>
                        <w:tcW w:w="1392"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Дипазон титров IgG</w:t>
                        </w:r>
                      </w:p>
                    </w:tc>
                    <w:tc>
                      <w:tcPr>
                        <w:tcW w:w="1380"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Диапазон титров IgA</w:t>
                        </w:r>
                      </w:p>
                    </w:tc>
                    <w:tc>
                      <w:tcPr>
                        <w:tcW w:w="1524"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Диапазон титров Ig M</w:t>
                        </w:r>
                      </w:p>
                    </w:tc>
                  </w:tr>
                  <w:tr w:rsidR="00AC7D70">
                    <w:trPr>
                      <w:trHeight w:val="432"/>
                      <w:tblCellSpacing w:w="6" w:type="dxa"/>
                    </w:trPr>
                    <w:tc>
                      <w:tcPr>
                        <w:tcW w:w="2364"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Первичная/острая. Определяются Ig M</w:t>
                        </w:r>
                      </w:p>
                    </w:tc>
                    <w:tc>
                      <w:tcPr>
                        <w:tcW w:w="1392"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&gt;100-6400</w:t>
                        </w:r>
                      </w:p>
                    </w:tc>
                    <w:tc>
                      <w:tcPr>
                        <w:tcW w:w="1380"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&gt; 50-1600</w:t>
                        </w:r>
                      </w:p>
                      <w:p w:rsidR="00AC7D70" w:rsidRDefault="00622D94">
                        <w:pPr>
                          <w:pStyle w:val="a5"/>
                          <w:jc w:val="both"/>
                          <w:rPr>
                            <w:sz w:val="21"/>
                            <w:szCs w:val="21"/>
                          </w:rPr>
                        </w:pPr>
                        <w:r>
                          <w:rPr>
                            <w:sz w:val="21"/>
                            <w:szCs w:val="21"/>
                          </w:rPr>
                          <w:t> </w:t>
                        </w:r>
                      </w:p>
                    </w:tc>
                    <w:tc>
                      <w:tcPr>
                        <w:tcW w:w="1524"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&gt; 50-3200</w:t>
                        </w:r>
                      </w:p>
                    </w:tc>
                  </w:tr>
                  <w:tr w:rsidR="00AC7D70">
                    <w:trPr>
                      <w:trHeight w:val="444"/>
                      <w:tblCellSpacing w:w="6" w:type="dxa"/>
                    </w:trPr>
                    <w:tc>
                      <w:tcPr>
                        <w:tcW w:w="2364"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Хроническая. Определяются Ig A</w:t>
                        </w:r>
                      </w:p>
                    </w:tc>
                    <w:tc>
                      <w:tcPr>
                        <w:tcW w:w="1392"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&gt; 100-1600</w:t>
                        </w:r>
                      </w:p>
                    </w:tc>
                    <w:tc>
                      <w:tcPr>
                        <w:tcW w:w="1380"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&lt;50</w:t>
                        </w:r>
                      </w:p>
                    </w:tc>
                    <w:tc>
                      <w:tcPr>
                        <w:tcW w:w="1524"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&gt;50-200</w:t>
                        </w:r>
                      </w:p>
                    </w:tc>
                  </w:tr>
                  <w:tr w:rsidR="00AC7D70">
                    <w:trPr>
                      <w:trHeight w:val="552"/>
                      <w:tblCellSpacing w:w="6" w:type="dxa"/>
                    </w:trPr>
                    <w:tc>
                      <w:tcPr>
                        <w:tcW w:w="2364"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Реактивация/ Реинфекция. Определяются Ig G, Ig A</w:t>
                        </w:r>
                      </w:p>
                    </w:tc>
                    <w:tc>
                      <w:tcPr>
                        <w:tcW w:w="1392"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&gt;100-51200</w:t>
                        </w:r>
                      </w:p>
                    </w:tc>
                    <w:tc>
                      <w:tcPr>
                        <w:tcW w:w="1380"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&gt;50-400</w:t>
                        </w:r>
                      </w:p>
                    </w:tc>
                    <w:tc>
                      <w:tcPr>
                        <w:tcW w:w="1524"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&lt;50</w:t>
                        </w:r>
                      </w:p>
                    </w:tc>
                  </w:tr>
                  <w:tr w:rsidR="00AC7D70">
                    <w:trPr>
                      <w:trHeight w:val="456"/>
                      <w:tblCellSpacing w:w="6" w:type="dxa"/>
                    </w:trPr>
                    <w:tc>
                      <w:tcPr>
                        <w:tcW w:w="2364"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Состояние после реконвалесценции. Определяется Ig G</w:t>
                        </w:r>
                      </w:p>
                    </w:tc>
                    <w:tc>
                      <w:tcPr>
                        <w:tcW w:w="1392"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&gt; 100-400</w:t>
                        </w:r>
                      </w:p>
                    </w:tc>
                    <w:tc>
                      <w:tcPr>
                        <w:tcW w:w="1380"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&lt;50</w:t>
                        </w:r>
                      </w:p>
                    </w:tc>
                    <w:tc>
                      <w:tcPr>
                        <w:tcW w:w="1524"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&lt;50</w:t>
                        </w:r>
                      </w:p>
                    </w:tc>
                  </w:tr>
                </w:tbl>
                <w:p w:rsidR="00AC7D70" w:rsidRDefault="00622D94">
                  <w:pPr>
                    <w:pStyle w:val="a5"/>
                    <w:spacing w:before="144" w:beforeAutospacing="0" w:after="0" w:afterAutospacing="0"/>
                    <w:ind w:left="60" w:firstLine="384"/>
                    <w:jc w:val="both"/>
                    <w:rPr>
                      <w:sz w:val="21"/>
                      <w:szCs w:val="21"/>
                    </w:rPr>
                  </w:pPr>
                  <w:r>
                    <w:rPr>
                      <w:sz w:val="21"/>
                      <w:szCs w:val="21"/>
                    </w:rPr>
                    <w:t>Рассмотрим возможность определения стадии инфекционного процесса, показаний к антибактериальному лечению и вынесения заключения о наличии хламидийной инфекции на основании однократного или динамического определения титров антител Ig G, IgA, Ig M.</w:t>
                  </w:r>
                </w:p>
                <w:p w:rsidR="00AC7D70" w:rsidRDefault="00622D94">
                  <w:pPr>
                    <w:pStyle w:val="a5"/>
                    <w:spacing w:before="0" w:beforeAutospacing="0" w:after="0" w:afterAutospacing="0"/>
                    <w:ind w:left="60" w:firstLine="384"/>
                    <w:jc w:val="both"/>
                    <w:rPr>
                      <w:sz w:val="21"/>
                      <w:szCs w:val="21"/>
                    </w:rPr>
                  </w:pPr>
                  <w:r>
                    <w:rPr>
                      <w:sz w:val="21"/>
                      <w:szCs w:val="21"/>
                    </w:rPr>
                    <w:t>Используя данные однократного исследования затруднительно вынести клиническое заключение (табл. 5), при исследовании сыворотки через 10-14 дней уже можно судить о наличии хламидийной инфекции и показании к назначению антибактериального лечения (табл. 6) или об их отсутствии (табл. 7)</w:t>
                  </w:r>
                </w:p>
                <w:p w:rsidR="00AC7D70" w:rsidRDefault="00622D94">
                  <w:pPr>
                    <w:pStyle w:val="a5"/>
                    <w:jc w:val="both"/>
                    <w:rPr>
                      <w:sz w:val="21"/>
                      <w:szCs w:val="21"/>
                    </w:rPr>
                  </w:pPr>
                  <w:r>
                    <w:rPr>
                      <w:sz w:val="21"/>
                      <w:szCs w:val="21"/>
                    </w:rPr>
                    <w:t>Таблица 5. Очень ранняя стадия инфекции (сомнительно). “Пограничные титры” в первой сыворотке</w:t>
                  </w:r>
                </w:p>
                <w:tbl>
                  <w:tblPr>
                    <w:tblW w:w="7260" w:type="dxa"/>
                    <w:tblCellSpacing w:w="6" w:type="dxa"/>
                    <w:tblBorders>
                      <w:top w:val="outset" w:sz="6" w:space="0" w:color="auto"/>
                      <w:left w:val="outset" w:sz="6" w:space="0" w:color="auto"/>
                      <w:bottom w:val="outset" w:sz="6" w:space="0" w:color="auto"/>
                      <w:right w:val="outset" w:sz="6" w:space="0" w:color="auto"/>
                    </w:tblBorders>
                    <w:tblCellMar>
                      <w:top w:w="84" w:type="dxa"/>
                      <w:left w:w="84" w:type="dxa"/>
                      <w:bottom w:w="84" w:type="dxa"/>
                      <w:right w:w="84" w:type="dxa"/>
                    </w:tblCellMar>
                    <w:tblLook w:val="0000" w:firstRow="0" w:lastRow="0" w:firstColumn="0" w:lastColumn="0" w:noHBand="0" w:noVBand="0"/>
                  </w:tblPr>
                  <w:tblGrid>
                    <w:gridCol w:w="919"/>
                    <w:gridCol w:w="978"/>
                    <w:gridCol w:w="952"/>
                    <w:gridCol w:w="2244"/>
                    <w:gridCol w:w="2167"/>
                  </w:tblGrid>
                  <w:tr w:rsidR="00AC7D70">
                    <w:trPr>
                      <w:tblCellSpacing w:w="6" w:type="dxa"/>
                    </w:trPr>
                    <w:tc>
                      <w:tcPr>
                        <w:tcW w:w="828"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Титр Ig G</w:t>
                        </w:r>
                      </w:p>
                    </w:tc>
                    <w:tc>
                      <w:tcPr>
                        <w:tcW w:w="888"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Титр Ig А</w:t>
                        </w:r>
                      </w:p>
                    </w:tc>
                    <w:tc>
                      <w:tcPr>
                        <w:tcW w:w="864"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Титр Ig M</w:t>
                        </w:r>
                      </w:p>
                    </w:tc>
                    <w:tc>
                      <w:tcPr>
                        <w:tcW w:w="2052"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Заключение о наличии хламидийной инфекции</w:t>
                        </w:r>
                      </w:p>
                    </w:tc>
                    <w:tc>
                      <w:tcPr>
                        <w:tcW w:w="1656"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Антибактериальное лечение</w:t>
                        </w:r>
                      </w:p>
                    </w:tc>
                  </w:tr>
                  <w:tr w:rsidR="00AC7D70">
                    <w:trPr>
                      <w:tblCellSpacing w:w="6" w:type="dxa"/>
                    </w:trPr>
                    <w:tc>
                      <w:tcPr>
                        <w:tcW w:w="828"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&lt;100</w:t>
                        </w:r>
                      </w:p>
                    </w:tc>
                    <w:tc>
                      <w:tcPr>
                        <w:tcW w:w="888"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|&lt;50</w:t>
                        </w:r>
                      </w:p>
                    </w:tc>
                    <w:tc>
                      <w:tcPr>
                        <w:tcW w:w="864"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|&lt;50</w:t>
                        </w:r>
                      </w:p>
                    </w:tc>
                    <w:tc>
                      <w:tcPr>
                        <w:tcW w:w="2052"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сомнительно</w:t>
                        </w:r>
                      </w:p>
                    </w:tc>
                    <w:tc>
                      <w:tcPr>
                        <w:tcW w:w="1656"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не показано</w:t>
                        </w:r>
                      </w:p>
                    </w:tc>
                  </w:tr>
                </w:tbl>
                <w:p w:rsidR="00AC7D70" w:rsidRDefault="00622D94">
                  <w:pPr>
                    <w:pStyle w:val="a5"/>
                    <w:jc w:val="both"/>
                    <w:rPr>
                      <w:sz w:val="21"/>
                      <w:szCs w:val="21"/>
                    </w:rPr>
                  </w:pPr>
                  <w:r>
                    <w:rPr>
                      <w:sz w:val="21"/>
                      <w:szCs w:val="21"/>
                    </w:rPr>
                    <w:t> </w:t>
                  </w:r>
                </w:p>
                <w:p w:rsidR="00AC7D70" w:rsidRDefault="00622D94">
                  <w:pPr>
                    <w:pStyle w:val="a5"/>
                    <w:jc w:val="both"/>
                    <w:rPr>
                      <w:sz w:val="21"/>
                      <w:szCs w:val="21"/>
                    </w:rPr>
                  </w:pPr>
                  <w:r>
                    <w:rPr>
                      <w:sz w:val="21"/>
                      <w:szCs w:val="21"/>
                    </w:rPr>
                    <w:t>Таблица 6. Острая первичная инфекция. “Диагностические титры” во второй сыворотке через 10-14 дней</w:t>
                  </w:r>
                </w:p>
                <w:tbl>
                  <w:tblPr>
                    <w:tblW w:w="7260" w:type="dxa"/>
                    <w:tblCellSpacing w:w="6"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000" w:firstRow="0" w:lastRow="0" w:firstColumn="0" w:lastColumn="0" w:noHBand="0" w:noVBand="0"/>
                  </w:tblPr>
                  <w:tblGrid>
                    <w:gridCol w:w="990"/>
                    <w:gridCol w:w="1072"/>
                    <w:gridCol w:w="1009"/>
                    <w:gridCol w:w="2243"/>
                    <w:gridCol w:w="1946"/>
                  </w:tblGrid>
                  <w:tr w:rsidR="00AC7D70">
                    <w:trPr>
                      <w:trHeight w:val="300"/>
                      <w:tblCellSpacing w:w="6" w:type="dxa"/>
                    </w:trPr>
                    <w:tc>
                      <w:tcPr>
                        <w:tcW w:w="936"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Титр Ig G</w:t>
                        </w:r>
                      </w:p>
                    </w:tc>
                    <w:tc>
                      <w:tcPr>
                        <w:tcW w:w="1020"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Титр Ig А</w:t>
                        </w:r>
                      </w:p>
                    </w:tc>
                    <w:tc>
                      <w:tcPr>
                        <w:tcW w:w="960"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Титр Ig M</w:t>
                        </w:r>
                      </w:p>
                    </w:tc>
                    <w:tc>
                      <w:tcPr>
                        <w:tcW w:w="2148"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Заключение о наличии хламидииной инфекции</w:t>
                        </w:r>
                      </w:p>
                    </w:tc>
                    <w:tc>
                      <w:tcPr>
                        <w:tcW w:w="1764"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Антибактериальное лечение</w:t>
                        </w:r>
                      </w:p>
                    </w:tc>
                  </w:tr>
                  <w:tr w:rsidR="00AC7D70">
                    <w:trPr>
                      <w:trHeight w:val="216"/>
                      <w:tblCellSpacing w:w="6" w:type="dxa"/>
                    </w:trPr>
                    <w:tc>
                      <w:tcPr>
                        <w:tcW w:w="936" w:type="dxa"/>
                        <w:tcBorders>
                          <w:top w:val="outset" w:sz="6" w:space="0" w:color="auto"/>
                          <w:left w:val="outset" w:sz="6" w:space="0" w:color="auto"/>
                          <w:bottom w:val="outset" w:sz="6" w:space="0" w:color="auto"/>
                          <w:right w:val="outset" w:sz="6" w:space="0" w:color="auto"/>
                        </w:tcBorders>
                      </w:tcPr>
                      <w:p w:rsidR="00AC7D70" w:rsidRDefault="00622D94">
                        <w:pPr>
                          <w:pStyle w:val="a5"/>
                          <w:spacing w:line="216" w:lineRule="atLeast"/>
                          <w:jc w:val="both"/>
                          <w:rPr>
                            <w:sz w:val="21"/>
                            <w:szCs w:val="21"/>
                          </w:rPr>
                        </w:pPr>
                        <w:r>
                          <w:rPr>
                            <w:sz w:val="21"/>
                            <w:szCs w:val="21"/>
                          </w:rPr>
                          <w:t>&gt;200</w:t>
                        </w:r>
                      </w:p>
                    </w:tc>
                    <w:tc>
                      <w:tcPr>
                        <w:tcW w:w="1020" w:type="dxa"/>
                        <w:tcBorders>
                          <w:top w:val="outset" w:sz="6" w:space="0" w:color="auto"/>
                          <w:left w:val="outset" w:sz="6" w:space="0" w:color="auto"/>
                          <w:bottom w:val="outset" w:sz="6" w:space="0" w:color="auto"/>
                          <w:right w:val="outset" w:sz="6" w:space="0" w:color="auto"/>
                        </w:tcBorders>
                      </w:tcPr>
                      <w:p w:rsidR="00AC7D70" w:rsidRDefault="00622D94">
                        <w:pPr>
                          <w:pStyle w:val="a5"/>
                          <w:spacing w:line="216" w:lineRule="atLeast"/>
                          <w:jc w:val="both"/>
                          <w:rPr>
                            <w:sz w:val="21"/>
                            <w:szCs w:val="21"/>
                          </w:rPr>
                        </w:pPr>
                        <w:r>
                          <w:rPr>
                            <w:sz w:val="21"/>
                            <w:szCs w:val="21"/>
                          </w:rPr>
                          <w:t>&gt;=100</w:t>
                        </w:r>
                      </w:p>
                    </w:tc>
                    <w:tc>
                      <w:tcPr>
                        <w:tcW w:w="960" w:type="dxa"/>
                        <w:tcBorders>
                          <w:top w:val="outset" w:sz="6" w:space="0" w:color="auto"/>
                          <w:left w:val="outset" w:sz="6" w:space="0" w:color="auto"/>
                          <w:bottom w:val="outset" w:sz="6" w:space="0" w:color="auto"/>
                          <w:right w:val="outset" w:sz="6" w:space="0" w:color="auto"/>
                        </w:tcBorders>
                      </w:tcPr>
                      <w:p w:rsidR="00AC7D70" w:rsidRDefault="00622D94">
                        <w:pPr>
                          <w:pStyle w:val="a5"/>
                          <w:spacing w:line="216" w:lineRule="atLeast"/>
                          <w:jc w:val="both"/>
                          <w:rPr>
                            <w:sz w:val="21"/>
                            <w:szCs w:val="21"/>
                          </w:rPr>
                        </w:pPr>
                        <w:r>
                          <w:rPr>
                            <w:sz w:val="21"/>
                            <w:szCs w:val="21"/>
                          </w:rPr>
                          <w:t>=&lt;50</w:t>
                        </w:r>
                      </w:p>
                    </w:tc>
                    <w:tc>
                      <w:tcPr>
                        <w:tcW w:w="2148" w:type="dxa"/>
                        <w:tcBorders>
                          <w:top w:val="outset" w:sz="6" w:space="0" w:color="auto"/>
                          <w:left w:val="outset" w:sz="6" w:space="0" w:color="auto"/>
                          <w:bottom w:val="outset" w:sz="6" w:space="0" w:color="auto"/>
                          <w:right w:val="outset" w:sz="6" w:space="0" w:color="auto"/>
                        </w:tcBorders>
                      </w:tcPr>
                      <w:p w:rsidR="00AC7D70" w:rsidRDefault="00622D94">
                        <w:pPr>
                          <w:pStyle w:val="a5"/>
                          <w:spacing w:line="216" w:lineRule="atLeast"/>
                          <w:jc w:val="both"/>
                          <w:rPr>
                            <w:sz w:val="21"/>
                            <w:szCs w:val="21"/>
                          </w:rPr>
                        </w:pPr>
                        <w:r>
                          <w:rPr>
                            <w:sz w:val="21"/>
                            <w:szCs w:val="21"/>
                          </w:rPr>
                          <w:t>имеется</w:t>
                        </w:r>
                      </w:p>
                    </w:tc>
                    <w:tc>
                      <w:tcPr>
                        <w:tcW w:w="1764" w:type="dxa"/>
                        <w:tcBorders>
                          <w:top w:val="outset" w:sz="6" w:space="0" w:color="auto"/>
                          <w:left w:val="outset" w:sz="6" w:space="0" w:color="auto"/>
                          <w:bottom w:val="outset" w:sz="6" w:space="0" w:color="auto"/>
                          <w:right w:val="outset" w:sz="6" w:space="0" w:color="auto"/>
                        </w:tcBorders>
                      </w:tcPr>
                      <w:p w:rsidR="00AC7D70" w:rsidRDefault="00622D94">
                        <w:pPr>
                          <w:pStyle w:val="a5"/>
                          <w:spacing w:line="216" w:lineRule="atLeast"/>
                          <w:jc w:val="both"/>
                          <w:rPr>
                            <w:sz w:val="21"/>
                            <w:szCs w:val="21"/>
                          </w:rPr>
                        </w:pPr>
                        <w:r>
                          <w:rPr>
                            <w:sz w:val="21"/>
                            <w:szCs w:val="21"/>
                          </w:rPr>
                          <w:t>Показано</w:t>
                        </w:r>
                      </w:p>
                    </w:tc>
                  </w:tr>
                </w:tbl>
                <w:p w:rsidR="00AC7D70" w:rsidRDefault="00622D94">
                  <w:pPr>
                    <w:pStyle w:val="a5"/>
                    <w:jc w:val="both"/>
                    <w:rPr>
                      <w:sz w:val="21"/>
                      <w:szCs w:val="21"/>
                    </w:rPr>
                  </w:pPr>
                  <w:r>
                    <w:rPr>
                      <w:sz w:val="21"/>
                      <w:szCs w:val="21"/>
                    </w:rPr>
                    <w:t> </w:t>
                  </w:r>
                </w:p>
                <w:p w:rsidR="00AC7D70" w:rsidRDefault="00622D94">
                  <w:pPr>
                    <w:pStyle w:val="a5"/>
                    <w:jc w:val="both"/>
                    <w:rPr>
                      <w:sz w:val="21"/>
                      <w:szCs w:val="21"/>
                    </w:rPr>
                  </w:pPr>
                  <w:r>
                    <w:rPr>
                      <w:sz w:val="21"/>
                      <w:szCs w:val="21"/>
                    </w:rPr>
                    <w:t>Таблица 7. Отсутствие хламидийной инфекции. “Диагностические титры” во второй сыворотке через 10-14 дней</w:t>
                  </w:r>
                </w:p>
                <w:tbl>
                  <w:tblPr>
                    <w:tblW w:w="7248" w:type="dxa"/>
                    <w:tblCellSpacing w:w="6"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000" w:firstRow="0" w:lastRow="0" w:firstColumn="0" w:lastColumn="0" w:noHBand="0" w:noVBand="0"/>
                  </w:tblPr>
                  <w:tblGrid>
                    <w:gridCol w:w="976"/>
                    <w:gridCol w:w="1083"/>
                    <w:gridCol w:w="1007"/>
                    <w:gridCol w:w="2216"/>
                    <w:gridCol w:w="1966"/>
                  </w:tblGrid>
                  <w:tr w:rsidR="00AC7D70">
                    <w:trPr>
                      <w:trHeight w:val="288"/>
                      <w:tblCellSpacing w:w="6" w:type="dxa"/>
                    </w:trPr>
                    <w:tc>
                      <w:tcPr>
                        <w:tcW w:w="912"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lang w:val="en-US"/>
                          </w:rPr>
                        </w:pPr>
                        <w:r>
                          <w:rPr>
                            <w:sz w:val="21"/>
                            <w:szCs w:val="21"/>
                          </w:rPr>
                          <w:t>Титр</w:t>
                        </w:r>
                        <w:r>
                          <w:rPr>
                            <w:sz w:val="21"/>
                            <w:szCs w:val="21"/>
                            <w:lang w:val="en-US"/>
                          </w:rPr>
                          <w:t xml:space="preserve"> Ig G</w:t>
                        </w:r>
                      </w:p>
                    </w:tc>
                    <w:tc>
                      <w:tcPr>
                        <w:tcW w:w="1020"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lang w:val="en-US"/>
                          </w:rPr>
                        </w:pPr>
                        <w:r>
                          <w:rPr>
                            <w:sz w:val="21"/>
                            <w:szCs w:val="21"/>
                          </w:rPr>
                          <w:t>Титр</w:t>
                        </w:r>
                        <w:r>
                          <w:rPr>
                            <w:sz w:val="21"/>
                            <w:szCs w:val="21"/>
                            <w:lang w:val="en-US"/>
                          </w:rPr>
                          <w:t xml:space="preserve"> Ig A</w:t>
                        </w:r>
                      </w:p>
                    </w:tc>
                    <w:tc>
                      <w:tcPr>
                        <w:tcW w:w="948"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Титр Ig M</w:t>
                        </w:r>
                      </w:p>
                    </w:tc>
                    <w:tc>
                      <w:tcPr>
                        <w:tcW w:w="2100"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Заключение о наличии хламидийной инфекции</w:t>
                        </w:r>
                      </w:p>
                    </w:tc>
                    <w:tc>
                      <w:tcPr>
                        <w:tcW w:w="1740"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Антибактериальное лечение</w:t>
                        </w:r>
                      </w:p>
                    </w:tc>
                  </w:tr>
                  <w:tr w:rsidR="00AC7D70">
                    <w:trPr>
                      <w:trHeight w:val="240"/>
                      <w:tblCellSpacing w:w="6" w:type="dxa"/>
                    </w:trPr>
                    <w:tc>
                      <w:tcPr>
                        <w:tcW w:w="912"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&lt;100</w:t>
                        </w:r>
                      </w:p>
                    </w:tc>
                    <w:tc>
                      <w:tcPr>
                        <w:tcW w:w="1020"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&lt;50</w:t>
                        </w:r>
                      </w:p>
                    </w:tc>
                    <w:tc>
                      <w:tcPr>
                        <w:tcW w:w="948"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&lt;50</w:t>
                        </w:r>
                      </w:p>
                    </w:tc>
                    <w:tc>
                      <w:tcPr>
                        <w:tcW w:w="2100"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отсутствует</w:t>
                        </w:r>
                      </w:p>
                    </w:tc>
                    <w:tc>
                      <w:tcPr>
                        <w:tcW w:w="1740"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не показано</w:t>
                        </w:r>
                      </w:p>
                    </w:tc>
                  </w:tr>
                </w:tbl>
                <w:p w:rsidR="00AC7D70" w:rsidRDefault="00622D94">
                  <w:pPr>
                    <w:pStyle w:val="a5"/>
                    <w:spacing w:before="0" w:beforeAutospacing="0" w:after="0" w:afterAutospacing="0"/>
                    <w:ind w:left="60" w:firstLine="384"/>
                    <w:jc w:val="both"/>
                    <w:rPr>
                      <w:sz w:val="21"/>
                      <w:szCs w:val="21"/>
                    </w:rPr>
                  </w:pPr>
                  <w:r>
                    <w:rPr>
                      <w:sz w:val="21"/>
                      <w:szCs w:val="21"/>
                    </w:rPr>
                    <w:t> </w:t>
                  </w:r>
                </w:p>
                <w:p w:rsidR="00AC7D70" w:rsidRDefault="00622D94">
                  <w:pPr>
                    <w:pStyle w:val="a5"/>
                    <w:spacing w:before="0" w:beforeAutospacing="0" w:after="0" w:afterAutospacing="0"/>
                    <w:ind w:left="60" w:firstLine="384"/>
                    <w:jc w:val="both"/>
                    <w:rPr>
                      <w:sz w:val="21"/>
                      <w:szCs w:val="21"/>
                    </w:rPr>
                  </w:pPr>
                  <w:r>
                    <w:rPr>
                      <w:sz w:val="21"/>
                      <w:szCs w:val="21"/>
                    </w:rPr>
                    <w:t>При однократном определении титров антител (табл. 8) так же, как и в предыдущем наблюдении трудно однозначно вынести клиническое заключение Повторное обследование больного через две недели (табл. 9) позволяет судить о прогрессировании первичной инфекции либо реактивации и реинфекции. В другом случае (табл. 10) исследование сыворотки в динамике через две недели позволяет вынести заключение о персистенции антител и непоказанности антибактериального лечения</w:t>
                  </w:r>
                </w:p>
                <w:p w:rsidR="00AC7D70" w:rsidRDefault="00622D94">
                  <w:pPr>
                    <w:pStyle w:val="a5"/>
                    <w:jc w:val="both"/>
                    <w:rPr>
                      <w:sz w:val="21"/>
                      <w:szCs w:val="21"/>
                    </w:rPr>
                  </w:pPr>
                  <w:r>
                    <w:rPr>
                      <w:sz w:val="21"/>
                      <w:szCs w:val="21"/>
                    </w:rPr>
                    <w:t> Таблица 8. Ранняя стадия инфекции (сомнительно). Хроническое течение (сомнительно). “Пограничные титры в первой сыворотке”</w:t>
                  </w:r>
                </w:p>
                <w:tbl>
                  <w:tblPr>
                    <w:tblW w:w="7224" w:type="dxa"/>
                    <w:tblCellSpacing w:w="6"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000" w:firstRow="0" w:lastRow="0" w:firstColumn="0" w:lastColumn="0" w:noHBand="0" w:noVBand="0"/>
                  </w:tblPr>
                  <w:tblGrid>
                    <w:gridCol w:w="982"/>
                    <w:gridCol w:w="1112"/>
                    <w:gridCol w:w="988"/>
                    <w:gridCol w:w="2212"/>
                    <w:gridCol w:w="1930"/>
                  </w:tblGrid>
                  <w:tr w:rsidR="00AC7D70">
                    <w:trPr>
                      <w:trHeight w:val="300"/>
                      <w:tblCellSpacing w:w="6" w:type="dxa"/>
                    </w:trPr>
                    <w:tc>
                      <w:tcPr>
                        <w:tcW w:w="936"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lang w:val="en-US"/>
                          </w:rPr>
                        </w:pPr>
                        <w:r>
                          <w:rPr>
                            <w:sz w:val="21"/>
                            <w:szCs w:val="21"/>
                          </w:rPr>
                          <w:t>Титр</w:t>
                        </w:r>
                        <w:r>
                          <w:rPr>
                            <w:sz w:val="21"/>
                            <w:szCs w:val="21"/>
                            <w:lang w:val="en-US"/>
                          </w:rPr>
                          <w:t xml:space="preserve"> Ig G</w:t>
                        </w:r>
                      </w:p>
                    </w:tc>
                    <w:tc>
                      <w:tcPr>
                        <w:tcW w:w="1068"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lang w:val="en-US"/>
                          </w:rPr>
                        </w:pPr>
                        <w:r>
                          <w:rPr>
                            <w:sz w:val="21"/>
                            <w:szCs w:val="21"/>
                          </w:rPr>
                          <w:t>Титр</w:t>
                        </w:r>
                        <w:r>
                          <w:rPr>
                            <w:sz w:val="21"/>
                            <w:szCs w:val="21"/>
                            <w:lang w:val="en-US"/>
                          </w:rPr>
                          <w:t xml:space="preserve"> Ig A</w:t>
                        </w:r>
                      </w:p>
                    </w:tc>
                    <w:tc>
                      <w:tcPr>
                        <w:tcW w:w="948"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Титр Ig M</w:t>
                        </w:r>
                      </w:p>
                    </w:tc>
                    <w:tc>
                      <w:tcPr>
                        <w:tcW w:w="2136"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Заключение о наличии хламидийной инфекции</w:t>
                        </w:r>
                      </w:p>
                    </w:tc>
                    <w:tc>
                      <w:tcPr>
                        <w:tcW w:w="1752"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Антибактериальное лечение</w:t>
                        </w:r>
                      </w:p>
                    </w:tc>
                  </w:tr>
                  <w:tr w:rsidR="00AC7D70">
                    <w:trPr>
                      <w:trHeight w:val="444"/>
                      <w:tblCellSpacing w:w="6" w:type="dxa"/>
                    </w:trPr>
                    <w:tc>
                      <w:tcPr>
                        <w:tcW w:w="936"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100</w:t>
                        </w:r>
                      </w:p>
                    </w:tc>
                    <w:tc>
                      <w:tcPr>
                        <w:tcW w:w="1068"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50</w:t>
                        </w:r>
                      </w:p>
                    </w:tc>
                    <w:tc>
                      <w:tcPr>
                        <w:tcW w:w="948"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&lt;50</w:t>
                        </w:r>
                      </w:p>
                    </w:tc>
                    <w:tc>
                      <w:tcPr>
                        <w:tcW w:w="2136"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Сомнительно (требуется подтверждение ПЦР и культуральным посевом)</w:t>
                        </w:r>
                      </w:p>
                    </w:tc>
                    <w:tc>
                      <w:tcPr>
                        <w:tcW w:w="1752"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не обязательно</w:t>
                        </w:r>
                      </w:p>
                    </w:tc>
                  </w:tr>
                </w:tbl>
                <w:p w:rsidR="00AC7D70" w:rsidRDefault="00622D94">
                  <w:pPr>
                    <w:pStyle w:val="a5"/>
                    <w:jc w:val="both"/>
                    <w:rPr>
                      <w:sz w:val="21"/>
                      <w:szCs w:val="21"/>
                    </w:rPr>
                  </w:pPr>
                  <w:r>
                    <w:rPr>
                      <w:sz w:val="21"/>
                      <w:szCs w:val="21"/>
                    </w:rPr>
                    <w:t> </w:t>
                  </w:r>
                </w:p>
                <w:p w:rsidR="00AC7D70" w:rsidRDefault="00622D94">
                  <w:pPr>
                    <w:pStyle w:val="a5"/>
                    <w:jc w:val="both"/>
                    <w:rPr>
                      <w:sz w:val="21"/>
                      <w:szCs w:val="21"/>
                    </w:rPr>
                  </w:pPr>
                  <w:r>
                    <w:rPr>
                      <w:sz w:val="21"/>
                      <w:szCs w:val="21"/>
                    </w:rPr>
                    <w:t>Таблица 9. Прогрессирующая первичная инфекция. Реинфекция. Реактивация. Диагностические титры во второй сыворотке через 10-14 дней</w:t>
                  </w:r>
                </w:p>
                <w:tbl>
                  <w:tblPr>
                    <w:tblW w:w="7224" w:type="dxa"/>
                    <w:tblCellSpacing w:w="6"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000" w:firstRow="0" w:lastRow="0" w:firstColumn="0" w:lastColumn="0" w:noHBand="0" w:noVBand="0"/>
                  </w:tblPr>
                  <w:tblGrid>
                    <w:gridCol w:w="995"/>
                    <w:gridCol w:w="1102"/>
                    <w:gridCol w:w="978"/>
                    <w:gridCol w:w="2216"/>
                    <w:gridCol w:w="1933"/>
                  </w:tblGrid>
                  <w:tr w:rsidR="00AC7D70">
                    <w:trPr>
                      <w:trHeight w:val="300"/>
                      <w:tblCellSpacing w:w="6" w:type="dxa"/>
                    </w:trPr>
                    <w:tc>
                      <w:tcPr>
                        <w:tcW w:w="948"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lang w:val="en-US"/>
                          </w:rPr>
                        </w:pPr>
                        <w:r>
                          <w:rPr>
                            <w:sz w:val="21"/>
                            <w:szCs w:val="21"/>
                          </w:rPr>
                          <w:t>Титр</w:t>
                        </w:r>
                        <w:r>
                          <w:rPr>
                            <w:sz w:val="21"/>
                            <w:szCs w:val="21"/>
                            <w:lang w:val="en-US"/>
                          </w:rPr>
                          <w:t xml:space="preserve"> Ig G</w:t>
                        </w:r>
                      </w:p>
                    </w:tc>
                    <w:tc>
                      <w:tcPr>
                        <w:tcW w:w="1056"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lang w:val="en-US"/>
                          </w:rPr>
                        </w:pPr>
                        <w:r>
                          <w:rPr>
                            <w:sz w:val="21"/>
                            <w:szCs w:val="21"/>
                          </w:rPr>
                          <w:t>Титр</w:t>
                        </w:r>
                        <w:r>
                          <w:rPr>
                            <w:sz w:val="21"/>
                            <w:szCs w:val="21"/>
                            <w:lang w:val="en-US"/>
                          </w:rPr>
                          <w:t xml:space="preserve"> Ig A</w:t>
                        </w:r>
                      </w:p>
                    </w:tc>
                    <w:tc>
                      <w:tcPr>
                        <w:tcW w:w="936"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Титр Ig M</w:t>
                        </w:r>
                      </w:p>
                    </w:tc>
                    <w:tc>
                      <w:tcPr>
                        <w:tcW w:w="2136"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Заключение о наличии хламидийной инфекции</w:t>
                        </w:r>
                      </w:p>
                    </w:tc>
                    <w:tc>
                      <w:tcPr>
                        <w:tcW w:w="1764"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Антибактериальное лечение</w:t>
                        </w:r>
                      </w:p>
                    </w:tc>
                  </w:tr>
                  <w:tr w:rsidR="00AC7D70">
                    <w:trPr>
                      <w:trHeight w:val="240"/>
                      <w:tblCellSpacing w:w="6" w:type="dxa"/>
                    </w:trPr>
                    <w:tc>
                      <w:tcPr>
                        <w:tcW w:w="948"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&gt;=400*</w:t>
                        </w:r>
                      </w:p>
                    </w:tc>
                    <w:tc>
                      <w:tcPr>
                        <w:tcW w:w="1056"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&gt;=200*</w:t>
                        </w:r>
                      </w:p>
                    </w:tc>
                    <w:tc>
                      <w:tcPr>
                        <w:tcW w:w="936"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&lt;=50</w:t>
                        </w:r>
                      </w:p>
                    </w:tc>
                    <w:tc>
                      <w:tcPr>
                        <w:tcW w:w="2136"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Имеется</w:t>
                        </w:r>
                      </w:p>
                    </w:tc>
                    <w:tc>
                      <w:tcPr>
                        <w:tcW w:w="1764"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показано</w:t>
                        </w:r>
                      </w:p>
                    </w:tc>
                  </w:tr>
                </w:tbl>
                <w:p w:rsidR="00AC7D70" w:rsidRDefault="00622D94">
                  <w:pPr>
                    <w:pStyle w:val="a5"/>
                    <w:ind w:left="60"/>
                    <w:jc w:val="both"/>
                    <w:rPr>
                      <w:sz w:val="21"/>
                      <w:szCs w:val="21"/>
                    </w:rPr>
                  </w:pPr>
                  <w:r>
                    <w:rPr>
                      <w:sz w:val="21"/>
                      <w:szCs w:val="21"/>
                    </w:rPr>
                    <w:t>*- 4-х кратное повышение значимо только для Ig G и Ig А.</w:t>
                  </w:r>
                </w:p>
                <w:p w:rsidR="00AC7D70" w:rsidRDefault="00622D94">
                  <w:pPr>
                    <w:pStyle w:val="a5"/>
                    <w:jc w:val="both"/>
                    <w:rPr>
                      <w:sz w:val="21"/>
                      <w:szCs w:val="21"/>
                    </w:rPr>
                  </w:pPr>
                  <w:r>
                    <w:rPr>
                      <w:sz w:val="21"/>
                      <w:szCs w:val="21"/>
                    </w:rPr>
                    <w:t>Таблица 10. Хроническая персистенция антител без клинических проявлений. Диагностические титры во второй сыворотке через 10-14 дней.</w:t>
                  </w:r>
                </w:p>
                <w:tbl>
                  <w:tblPr>
                    <w:tblW w:w="7212" w:type="dxa"/>
                    <w:tblCellSpacing w:w="6"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000" w:firstRow="0" w:lastRow="0" w:firstColumn="0" w:lastColumn="0" w:noHBand="0" w:noVBand="0"/>
                  </w:tblPr>
                  <w:tblGrid>
                    <w:gridCol w:w="994"/>
                    <w:gridCol w:w="1075"/>
                    <w:gridCol w:w="963"/>
                    <w:gridCol w:w="2227"/>
                    <w:gridCol w:w="1953"/>
                  </w:tblGrid>
                  <w:tr w:rsidR="00AC7D70">
                    <w:trPr>
                      <w:trHeight w:val="300"/>
                      <w:tblCellSpacing w:w="6" w:type="dxa"/>
                    </w:trPr>
                    <w:tc>
                      <w:tcPr>
                        <w:tcW w:w="936"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lang w:val="en-US"/>
                          </w:rPr>
                        </w:pPr>
                        <w:r>
                          <w:rPr>
                            <w:sz w:val="21"/>
                            <w:szCs w:val="21"/>
                          </w:rPr>
                          <w:t>Титр</w:t>
                        </w:r>
                        <w:r>
                          <w:rPr>
                            <w:sz w:val="21"/>
                            <w:szCs w:val="21"/>
                            <w:lang w:val="en-US"/>
                          </w:rPr>
                          <w:t xml:space="preserve"> Ig G</w:t>
                        </w:r>
                      </w:p>
                    </w:tc>
                    <w:tc>
                      <w:tcPr>
                        <w:tcW w:w="1020"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lang w:val="en-US"/>
                          </w:rPr>
                        </w:pPr>
                        <w:r>
                          <w:rPr>
                            <w:sz w:val="21"/>
                            <w:szCs w:val="21"/>
                          </w:rPr>
                          <w:t>Титр</w:t>
                        </w:r>
                        <w:r>
                          <w:rPr>
                            <w:sz w:val="21"/>
                            <w:szCs w:val="21"/>
                            <w:lang w:val="en-US"/>
                          </w:rPr>
                          <w:t xml:space="preserve"> Ig A</w:t>
                        </w:r>
                      </w:p>
                    </w:tc>
                    <w:tc>
                      <w:tcPr>
                        <w:tcW w:w="912"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Титр Ig M</w:t>
                        </w:r>
                      </w:p>
                    </w:tc>
                    <w:tc>
                      <w:tcPr>
                        <w:tcW w:w="2124"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Заключение о наличии хламидийной инфекции</w:t>
                        </w:r>
                      </w:p>
                    </w:tc>
                    <w:tc>
                      <w:tcPr>
                        <w:tcW w:w="1692"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Антибактериальное лечение</w:t>
                        </w:r>
                      </w:p>
                    </w:tc>
                  </w:tr>
                  <w:tr w:rsidR="00AC7D70">
                    <w:trPr>
                      <w:trHeight w:val="240"/>
                      <w:tblCellSpacing w:w="6" w:type="dxa"/>
                    </w:trPr>
                    <w:tc>
                      <w:tcPr>
                        <w:tcW w:w="936"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100</w:t>
                        </w:r>
                      </w:p>
                    </w:tc>
                    <w:tc>
                      <w:tcPr>
                        <w:tcW w:w="1020"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50</w:t>
                        </w:r>
                      </w:p>
                    </w:tc>
                    <w:tc>
                      <w:tcPr>
                        <w:tcW w:w="912"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&lt; =50</w:t>
                        </w:r>
                      </w:p>
                    </w:tc>
                    <w:tc>
                      <w:tcPr>
                        <w:tcW w:w="2124"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Персистенция антител</w:t>
                        </w:r>
                      </w:p>
                    </w:tc>
                    <w:tc>
                      <w:tcPr>
                        <w:tcW w:w="1692"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не показано</w:t>
                        </w:r>
                      </w:p>
                    </w:tc>
                  </w:tr>
                </w:tbl>
                <w:p w:rsidR="00AC7D70" w:rsidRDefault="00622D94">
                  <w:pPr>
                    <w:pStyle w:val="a5"/>
                    <w:spacing w:before="144" w:beforeAutospacing="0" w:after="0" w:afterAutospacing="0"/>
                    <w:ind w:left="60" w:firstLine="384"/>
                    <w:jc w:val="both"/>
                    <w:rPr>
                      <w:sz w:val="21"/>
                      <w:szCs w:val="21"/>
                    </w:rPr>
                  </w:pPr>
                  <w:r>
                    <w:rPr>
                      <w:sz w:val="21"/>
                      <w:szCs w:val="21"/>
                    </w:rPr>
                    <w:t>В следующем наблюдении (табл.11) можно сразу вынести заключение о первичной инфекции или о ее прогрессировании либо реактивации, реинфекции (табл.12) и, соответственно, показанности антибактериального лечения.</w:t>
                  </w:r>
                </w:p>
                <w:p w:rsidR="00AC7D70" w:rsidRDefault="00AC7D70">
                  <w:pPr>
                    <w:pStyle w:val="a5"/>
                    <w:jc w:val="both"/>
                    <w:rPr>
                      <w:sz w:val="21"/>
                      <w:szCs w:val="21"/>
                    </w:rPr>
                  </w:pPr>
                </w:p>
                <w:p w:rsidR="00AC7D70" w:rsidRDefault="00AC7D70">
                  <w:pPr>
                    <w:pStyle w:val="a5"/>
                    <w:jc w:val="both"/>
                    <w:rPr>
                      <w:sz w:val="21"/>
                      <w:szCs w:val="21"/>
                    </w:rPr>
                  </w:pPr>
                </w:p>
                <w:p w:rsidR="00AC7D70" w:rsidRDefault="00622D94">
                  <w:pPr>
                    <w:pStyle w:val="a5"/>
                    <w:jc w:val="both"/>
                    <w:rPr>
                      <w:sz w:val="21"/>
                      <w:szCs w:val="21"/>
                    </w:rPr>
                  </w:pPr>
                  <w:r>
                    <w:rPr>
                      <w:sz w:val="21"/>
                      <w:szCs w:val="21"/>
                    </w:rPr>
                    <w:t>Таблица 11. Первичная стадия. Диагностические титры в первой сыворотке</w:t>
                  </w:r>
                </w:p>
                <w:tbl>
                  <w:tblPr>
                    <w:tblW w:w="7212" w:type="dxa"/>
                    <w:tblCellSpacing w:w="6"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000" w:firstRow="0" w:lastRow="0" w:firstColumn="0" w:lastColumn="0" w:noHBand="0" w:noVBand="0"/>
                  </w:tblPr>
                  <w:tblGrid>
                    <w:gridCol w:w="1008"/>
                    <w:gridCol w:w="1077"/>
                    <w:gridCol w:w="952"/>
                    <w:gridCol w:w="2218"/>
                    <w:gridCol w:w="1957"/>
                  </w:tblGrid>
                  <w:tr w:rsidR="00AC7D70">
                    <w:trPr>
                      <w:trHeight w:val="300"/>
                      <w:tblCellSpacing w:w="6" w:type="dxa"/>
                    </w:trPr>
                    <w:tc>
                      <w:tcPr>
                        <w:tcW w:w="948"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lang w:val="en-US"/>
                          </w:rPr>
                        </w:pPr>
                        <w:r>
                          <w:rPr>
                            <w:sz w:val="21"/>
                            <w:szCs w:val="21"/>
                          </w:rPr>
                          <w:t>Титр</w:t>
                        </w:r>
                        <w:r>
                          <w:rPr>
                            <w:sz w:val="21"/>
                            <w:szCs w:val="21"/>
                            <w:lang w:val="en-US"/>
                          </w:rPr>
                          <w:t xml:space="preserve"> Ig G</w:t>
                        </w:r>
                      </w:p>
                    </w:tc>
                    <w:tc>
                      <w:tcPr>
                        <w:tcW w:w="1020"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lang w:val="en-US"/>
                          </w:rPr>
                        </w:pPr>
                        <w:r>
                          <w:rPr>
                            <w:sz w:val="21"/>
                            <w:szCs w:val="21"/>
                          </w:rPr>
                          <w:t>Титр</w:t>
                        </w:r>
                        <w:r>
                          <w:rPr>
                            <w:sz w:val="21"/>
                            <w:szCs w:val="21"/>
                            <w:lang w:val="en-US"/>
                          </w:rPr>
                          <w:t xml:space="preserve"> Ig A</w:t>
                        </w:r>
                      </w:p>
                    </w:tc>
                    <w:tc>
                      <w:tcPr>
                        <w:tcW w:w="900"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Титр Ig M</w:t>
                        </w:r>
                      </w:p>
                    </w:tc>
                    <w:tc>
                      <w:tcPr>
                        <w:tcW w:w="2112"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Заключение о наличии хламидийной инфекции</w:t>
                        </w:r>
                      </w:p>
                    </w:tc>
                    <w:tc>
                      <w:tcPr>
                        <w:tcW w:w="1704"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Антибактериальное лечение</w:t>
                        </w:r>
                      </w:p>
                    </w:tc>
                  </w:tr>
                  <w:tr w:rsidR="00AC7D70">
                    <w:trPr>
                      <w:trHeight w:val="204"/>
                      <w:tblCellSpacing w:w="6" w:type="dxa"/>
                    </w:trPr>
                    <w:tc>
                      <w:tcPr>
                        <w:tcW w:w="948" w:type="dxa"/>
                        <w:tcBorders>
                          <w:top w:val="outset" w:sz="6" w:space="0" w:color="auto"/>
                          <w:left w:val="outset" w:sz="6" w:space="0" w:color="auto"/>
                          <w:bottom w:val="outset" w:sz="6" w:space="0" w:color="auto"/>
                          <w:right w:val="outset" w:sz="6" w:space="0" w:color="auto"/>
                        </w:tcBorders>
                      </w:tcPr>
                      <w:p w:rsidR="00AC7D70" w:rsidRDefault="00622D94">
                        <w:pPr>
                          <w:pStyle w:val="a5"/>
                          <w:spacing w:line="204" w:lineRule="atLeast"/>
                          <w:jc w:val="both"/>
                          <w:rPr>
                            <w:sz w:val="21"/>
                            <w:szCs w:val="21"/>
                          </w:rPr>
                        </w:pPr>
                        <w:r>
                          <w:rPr>
                            <w:sz w:val="21"/>
                            <w:szCs w:val="21"/>
                          </w:rPr>
                          <w:t>&lt;100</w:t>
                        </w:r>
                      </w:p>
                    </w:tc>
                    <w:tc>
                      <w:tcPr>
                        <w:tcW w:w="1020" w:type="dxa"/>
                        <w:tcBorders>
                          <w:top w:val="outset" w:sz="6" w:space="0" w:color="auto"/>
                          <w:left w:val="outset" w:sz="6" w:space="0" w:color="auto"/>
                          <w:bottom w:val="outset" w:sz="6" w:space="0" w:color="auto"/>
                          <w:right w:val="outset" w:sz="6" w:space="0" w:color="auto"/>
                        </w:tcBorders>
                      </w:tcPr>
                      <w:p w:rsidR="00AC7D70" w:rsidRDefault="00622D94">
                        <w:pPr>
                          <w:pStyle w:val="a5"/>
                          <w:spacing w:line="204" w:lineRule="atLeast"/>
                          <w:jc w:val="both"/>
                          <w:rPr>
                            <w:sz w:val="21"/>
                            <w:szCs w:val="21"/>
                          </w:rPr>
                        </w:pPr>
                        <w:r>
                          <w:rPr>
                            <w:sz w:val="21"/>
                            <w:szCs w:val="21"/>
                          </w:rPr>
                          <w:t>&lt;50</w:t>
                        </w:r>
                      </w:p>
                    </w:tc>
                    <w:tc>
                      <w:tcPr>
                        <w:tcW w:w="900" w:type="dxa"/>
                        <w:tcBorders>
                          <w:top w:val="outset" w:sz="6" w:space="0" w:color="auto"/>
                          <w:left w:val="outset" w:sz="6" w:space="0" w:color="auto"/>
                          <w:bottom w:val="outset" w:sz="6" w:space="0" w:color="auto"/>
                          <w:right w:val="outset" w:sz="6" w:space="0" w:color="auto"/>
                        </w:tcBorders>
                      </w:tcPr>
                      <w:p w:rsidR="00AC7D70" w:rsidRDefault="00622D94">
                        <w:pPr>
                          <w:pStyle w:val="a5"/>
                          <w:spacing w:line="204" w:lineRule="atLeast"/>
                          <w:jc w:val="both"/>
                          <w:rPr>
                            <w:sz w:val="21"/>
                            <w:szCs w:val="21"/>
                          </w:rPr>
                        </w:pPr>
                        <w:r>
                          <w:rPr>
                            <w:sz w:val="21"/>
                            <w:szCs w:val="21"/>
                          </w:rPr>
                          <w:t>&gt;=50</w:t>
                        </w:r>
                      </w:p>
                    </w:tc>
                    <w:tc>
                      <w:tcPr>
                        <w:tcW w:w="2112" w:type="dxa"/>
                        <w:tcBorders>
                          <w:top w:val="outset" w:sz="6" w:space="0" w:color="auto"/>
                          <w:left w:val="outset" w:sz="6" w:space="0" w:color="auto"/>
                          <w:bottom w:val="outset" w:sz="6" w:space="0" w:color="auto"/>
                          <w:right w:val="outset" w:sz="6" w:space="0" w:color="auto"/>
                        </w:tcBorders>
                      </w:tcPr>
                      <w:p w:rsidR="00AC7D70" w:rsidRDefault="00622D94">
                        <w:pPr>
                          <w:pStyle w:val="a5"/>
                          <w:spacing w:line="204" w:lineRule="atLeast"/>
                          <w:jc w:val="both"/>
                          <w:rPr>
                            <w:sz w:val="21"/>
                            <w:szCs w:val="21"/>
                          </w:rPr>
                        </w:pPr>
                        <w:r>
                          <w:rPr>
                            <w:sz w:val="21"/>
                            <w:szCs w:val="21"/>
                          </w:rPr>
                          <w:t>Имеется</w:t>
                        </w:r>
                      </w:p>
                    </w:tc>
                    <w:tc>
                      <w:tcPr>
                        <w:tcW w:w="1704" w:type="dxa"/>
                        <w:tcBorders>
                          <w:top w:val="outset" w:sz="6" w:space="0" w:color="auto"/>
                          <w:left w:val="outset" w:sz="6" w:space="0" w:color="auto"/>
                          <w:bottom w:val="outset" w:sz="6" w:space="0" w:color="auto"/>
                          <w:right w:val="outset" w:sz="6" w:space="0" w:color="auto"/>
                        </w:tcBorders>
                      </w:tcPr>
                      <w:p w:rsidR="00AC7D70" w:rsidRDefault="00622D94">
                        <w:pPr>
                          <w:pStyle w:val="a5"/>
                          <w:spacing w:line="204" w:lineRule="atLeast"/>
                          <w:jc w:val="both"/>
                          <w:rPr>
                            <w:sz w:val="21"/>
                            <w:szCs w:val="21"/>
                          </w:rPr>
                        </w:pPr>
                        <w:r>
                          <w:rPr>
                            <w:sz w:val="21"/>
                            <w:szCs w:val="21"/>
                          </w:rPr>
                          <w:t>Показано</w:t>
                        </w:r>
                      </w:p>
                    </w:tc>
                  </w:tr>
                  <w:tr w:rsidR="00AC7D70">
                    <w:trPr>
                      <w:trHeight w:val="204"/>
                      <w:tblCellSpacing w:w="6" w:type="dxa"/>
                    </w:trPr>
                    <w:tc>
                      <w:tcPr>
                        <w:tcW w:w="948" w:type="dxa"/>
                        <w:tcBorders>
                          <w:top w:val="outset" w:sz="6" w:space="0" w:color="auto"/>
                          <w:left w:val="outset" w:sz="6" w:space="0" w:color="auto"/>
                          <w:bottom w:val="outset" w:sz="6" w:space="0" w:color="auto"/>
                          <w:right w:val="outset" w:sz="6" w:space="0" w:color="auto"/>
                        </w:tcBorders>
                      </w:tcPr>
                      <w:p w:rsidR="00AC7D70" w:rsidRDefault="00622D94">
                        <w:pPr>
                          <w:pStyle w:val="a5"/>
                          <w:spacing w:line="204" w:lineRule="atLeast"/>
                          <w:jc w:val="both"/>
                          <w:rPr>
                            <w:sz w:val="21"/>
                            <w:szCs w:val="21"/>
                          </w:rPr>
                        </w:pPr>
                        <w:r>
                          <w:rPr>
                            <w:sz w:val="21"/>
                            <w:szCs w:val="21"/>
                          </w:rPr>
                          <w:t>&gt;=100</w:t>
                        </w:r>
                      </w:p>
                    </w:tc>
                    <w:tc>
                      <w:tcPr>
                        <w:tcW w:w="1020" w:type="dxa"/>
                        <w:tcBorders>
                          <w:top w:val="outset" w:sz="6" w:space="0" w:color="auto"/>
                          <w:left w:val="outset" w:sz="6" w:space="0" w:color="auto"/>
                          <w:bottom w:val="outset" w:sz="6" w:space="0" w:color="auto"/>
                          <w:right w:val="outset" w:sz="6" w:space="0" w:color="auto"/>
                        </w:tcBorders>
                      </w:tcPr>
                      <w:p w:rsidR="00AC7D70" w:rsidRDefault="00622D94">
                        <w:pPr>
                          <w:pStyle w:val="a5"/>
                          <w:spacing w:line="204" w:lineRule="atLeast"/>
                          <w:jc w:val="both"/>
                          <w:rPr>
                            <w:sz w:val="21"/>
                            <w:szCs w:val="21"/>
                          </w:rPr>
                        </w:pPr>
                        <w:r>
                          <w:rPr>
                            <w:sz w:val="21"/>
                            <w:szCs w:val="21"/>
                          </w:rPr>
                          <w:t>&gt;=50</w:t>
                        </w:r>
                      </w:p>
                    </w:tc>
                    <w:tc>
                      <w:tcPr>
                        <w:tcW w:w="900" w:type="dxa"/>
                        <w:tcBorders>
                          <w:top w:val="outset" w:sz="6" w:space="0" w:color="auto"/>
                          <w:left w:val="outset" w:sz="6" w:space="0" w:color="auto"/>
                          <w:bottom w:val="outset" w:sz="6" w:space="0" w:color="auto"/>
                          <w:right w:val="outset" w:sz="6" w:space="0" w:color="auto"/>
                        </w:tcBorders>
                      </w:tcPr>
                      <w:p w:rsidR="00AC7D70" w:rsidRDefault="00622D94">
                        <w:pPr>
                          <w:pStyle w:val="a5"/>
                          <w:spacing w:line="204" w:lineRule="atLeast"/>
                          <w:jc w:val="both"/>
                          <w:rPr>
                            <w:sz w:val="21"/>
                            <w:szCs w:val="21"/>
                          </w:rPr>
                        </w:pPr>
                        <w:r>
                          <w:rPr>
                            <w:sz w:val="21"/>
                            <w:szCs w:val="21"/>
                          </w:rPr>
                          <w:t>&gt;=50</w:t>
                        </w:r>
                      </w:p>
                    </w:tc>
                    <w:tc>
                      <w:tcPr>
                        <w:tcW w:w="2112" w:type="dxa"/>
                        <w:tcBorders>
                          <w:top w:val="outset" w:sz="6" w:space="0" w:color="auto"/>
                          <w:left w:val="outset" w:sz="6" w:space="0" w:color="auto"/>
                          <w:bottom w:val="outset" w:sz="6" w:space="0" w:color="auto"/>
                          <w:right w:val="outset" w:sz="6" w:space="0" w:color="auto"/>
                        </w:tcBorders>
                      </w:tcPr>
                      <w:p w:rsidR="00AC7D70" w:rsidRDefault="00622D94">
                        <w:pPr>
                          <w:pStyle w:val="a5"/>
                          <w:spacing w:line="204" w:lineRule="atLeast"/>
                          <w:jc w:val="both"/>
                          <w:rPr>
                            <w:sz w:val="21"/>
                            <w:szCs w:val="21"/>
                          </w:rPr>
                        </w:pPr>
                        <w:r>
                          <w:rPr>
                            <w:sz w:val="21"/>
                            <w:szCs w:val="21"/>
                          </w:rPr>
                          <w:t>Имеется</w:t>
                        </w:r>
                      </w:p>
                    </w:tc>
                    <w:tc>
                      <w:tcPr>
                        <w:tcW w:w="1704" w:type="dxa"/>
                        <w:tcBorders>
                          <w:top w:val="outset" w:sz="6" w:space="0" w:color="auto"/>
                          <w:left w:val="outset" w:sz="6" w:space="0" w:color="auto"/>
                          <w:bottom w:val="outset" w:sz="6" w:space="0" w:color="auto"/>
                          <w:right w:val="outset" w:sz="6" w:space="0" w:color="auto"/>
                        </w:tcBorders>
                      </w:tcPr>
                      <w:p w:rsidR="00AC7D70" w:rsidRDefault="00622D94">
                        <w:pPr>
                          <w:pStyle w:val="a5"/>
                          <w:spacing w:line="204" w:lineRule="atLeast"/>
                          <w:jc w:val="both"/>
                          <w:rPr>
                            <w:sz w:val="21"/>
                            <w:szCs w:val="21"/>
                          </w:rPr>
                        </w:pPr>
                        <w:r>
                          <w:rPr>
                            <w:sz w:val="21"/>
                            <w:szCs w:val="21"/>
                          </w:rPr>
                          <w:t>Показано</w:t>
                        </w:r>
                      </w:p>
                    </w:tc>
                  </w:tr>
                  <w:tr w:rsidR="00AC7D70">
                    <w:trPr>
                      <w:trHeight w:val="252"/>
                      <w:tblCellSpacing w:w="6" w:type="dxa"/>
                    </w:trPr>
                    <w:tc>
                      <w:tcPr>
                        <w:tcW w:w="948"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&lt;100</w:t>
                        </w:r>
                      </w:p>
                    </w:tc>
                    <w:tc>
                      <w:tcPr>
                        <w:tcW w:w="1020"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&gt;=50</w:t>
                        </w:r>
                      </w:p>
                    </w:tc>
                    <w:tc>
                      <w:tcPr>
                        <w:tcW w:w="900"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&gt;=50</w:t>
                        </w:r>
                      </w:p>
                    </w:tc>
                    <w:tc>
                      <w:tcPr>
                        <w:tcW w:w="2112"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Имеется</w:t>
                        </w:r>
                      </w:p>
                    </w:tc>
                    <w:tc>
                      <w:tcPr>
                        <w:tcW w:w="1704"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Показано</w:t>
                        </w:r>
                      </w:p>
                    </w:tc>
                  </w:tr>
                </w:tbl>
                <w:p w:rsidR="00AC7D70" w:rsidRDefault="00622D94">
                  <w:pPr>
                    <w:pStyle w:val="a5"/>
                    <w:spacing w:before="216" w:beforeAutospacing="0" w:after="144" w:afterAutospacing="0"/>
                    <w:jc w:val="both"/>
                    <w:rPr>
                      <w:sz w:val="21"/>
                      <w:szCs w:val="21"/>
                    </w:rPr>
                  </w:pPr>
                  <w:r>
                    <w:rPr>
                      <w:sz w:val="21"/>
                      <w:szCs w:val="21"/>
                    </w:rPr>
                    <w:t>Таблица 12. Прогрессирующая первичная инфекция . Реинфекция. Реактивация. Диагностические титры первой сыворотки</w:t>
                  </w:r>
                </w:p>
                <w:tbl>
                  <w:tblPr>
                    <w:tblW w:w="7212" w:type="dxa"/>
                    <w:tblCellSpacing w:w="6"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000" w:firstRow="0" w:lastRow="0" w:firstColumn="0" w:lastColumn="0" w:noHBand="0" w:noVBand="0"/>
                  </w:tblPr>
                  <w:tblGrid>
                    <w:gridCol w:w="997"/>
                    <w:gridCol w:w="1092"/>
                    <w:gridCol w:w="954"/>
                    <w:gridCol w:w="2209"/>
                    <w:gridCol w:w="1960"/>
                  </w:tblGrid>
                  <w:tr w:rsidR="00AC7D70">
                    <w:trPr>
                      <w:trHeight w:val="300"/>
                      <w:tblCellSpacing w:w="6" w:type="dxa"/>
                    </w:trPr>
                    <w:tc>
                      <w:tcPr>
                        <w:tcW w:w="936"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lang w:val="en-US"/>
                          </w:rPr>
                        </w:pPr>
                        <w:r>
                          <w:rPr>
                            <w:sz w:val="21"/>
                            <w:szCs w:val="21"/>
                          </w:rPr>
                          <w:t>Титр</w:t>
                        </w:r>
                        <w:r>
                          <w:rPr>
                            <w:sz w:val="21"/>
                            <w:szCs w:val="21"/>
                            <w:lang w:val="en-US"/>
                          </w:rPr>
                          <w:t xml:space="preserve"> Ig G</w:t>
                        </w:r>
                      </w:p>
                    </w:tc>
                    <w:tc>
                      <w:tcPr>
                        <w:tcW w:w="1032"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lang w:val="en-US"/>
                          </w:rPr>
                        </w:pPr>
                        <w:r>
                          <w:rPr>
                            <w:sz w:val="21"/>
                            <w:szCs w:val="21"/>
                          </w:rPr>
                          <w:t>Титр</w:t>
                        </w:r>
                        <w:r>
                          <w:rPr>
                            <w:sz w:val="21"/>
                            <w:szCs w:val="21"/>
                            <w:lang w:val="en-US"/>
                          </w:rPr>
                          <w:t xml:space="preserve"> Ig A</w:t>
                        </w:r>
                      </w:p>
                    </w:tc>
                    <w:tc>
                      <w:tcPr>
                        <w:tcW w:w="900"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Титр Ig M</w:t>
                        </w:r>
                      </w:p>
                    </w:tc>
                    <w:tc>
                      <w:tcPr>
                        <w:tcW w:w="2100"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Заключение о наличии хламидийной инфекции</w:t>
                        </w:r>
                      </w:p>
                    </w:tc>
                    <w:tc>
                      <w:tcPr>
                        <w:tcW w:w="1716"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Антибактериальное лечение</w:t>
                        </w:r>
                      </w:p>
                    </w:tc>
                  </w:tr>
                  <w:tr w:rsidR="00AC7D70">
                    <w:trPr>
                      <w:trHeight w:val="240"/>
                      <w:tblCellSpacing w:w="6" w:type="dxa"/>
                    </w:trPr>
                    <w:tc>
                      <w:tcPr>
                        <w:tcW w:w="936"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&gt;=400</w:t>
                        </w:r>
                      </w:p>
                    </w:tc>
                    <w:tc>
                      <w:tcPr>
                        <w:tcW w:w="1032"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&gt;=200</w:t>
                        </w:r>
                      </w:p>
                    </w:tc>
                    <w:tc>
                      <w:tcPr>
                        <w:tcW w:w="900"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&lt;50</w:t>
                        </w:r>
                      </w:p>
                    </w:tc>
                    <w:tc>
                      <w:tcPr>
                        <w:tcW w:w="2100"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имеется</w:t>
                        </w:r>
                      </w:p>
                    </w:tc>
                    <w:tc>
                      <w:tcPr>
                        <w:tcW w:w="1716"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показано</w:t>
                        </w:r>
                      </w:p>
                    </w:tc>
                  </w:tr>
                </w:tbl>
                <w:p w:rsidR="00AC7D70" w:rsidRDefault="00622D94">
                  <w:pPr>
                    <w:pStyle w:val="a5"/>
                    <w:spacing w:before="144" w:beforeAutospacing="0" w:after="0" w:afterAutospacing="0"/>
                    <w:ind w:left="60" w:firstLine="384"/>
                    <w:jc w:val="both"/>
                    <w:rPr>
                      <w:sz w:val="21"/>
                      <w:szCs w:val="21"/>
                    </w:rPr>
                  </w:pPr>
                  <w:r>
                    <w:rPr>
                      <w:sz w:val="21"/>
                      <w:szCs w:val="21"/>
                    </w:rPr>
                    <w:t>В следующем наблюдении первичное исследование не дает оснований для выводов (табл.13), и только повторение его через две недели позволяет вынести заключение. Отсутствие изменения титра антител (табл.15) за указанный период времени свидетельствует о персистенции хламидий, вызывающих образование Ig А-антител и об отсутствии показаний к назначению антибактериального лечения. В другом случае (табл.14) увеличение в 2 раза титров Ig G и Ig A позволяет сделать вывод о присутствии хламидийной инфекции и наличии показаний к назначению антбактериального лечения.</w:t>
                  </w:r>
                </w:p>
                <w:p w:rsidR="00AC7D70" w:rsidRDefault="00622D94">
                  <w:pPr>
                    <w:pStyle w:val="a5"/>
                    <w:jc w:val="both"/>
                    <w:rPr>
                      <w:sz w:val="21"/>
                      <w:szCs w:val="21"/>
                    </w:rPr>
                  </w:pPr>
                  <w:r>
                    <w:rPr>
                      <w:sz w:val="21"/>
                      <w:szCs w:val="21"/>
                    </w:rPr>
                    <w:t>Таблица 13. Первичная инфекция (сомнительно). Реинфекция (сомнительно) . Реактивация (сомнительно) . “Пограничные титры” в первой сыворотке</w:t>
                  </w:r>
                </w:p>
                <w:tbl>
                  <w:tblPr>
                    <w:tblW w:w="7212" w:type="dxa"/>
                    <w:tblCellSpacing w:w="6"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000" w:firstRow="0" w:lastRow="0" w:firstColumn="0" w:lastColumn="0" w:noHBand="0" w:noVBand="0"/>
                  </w:tblPr>
                  <w:tblGrid>
                    <w:gridCol w:w="986"/>
                    <w:gridCol w:w="1094"/>
                    <w:gridCol w:w="968"/>
                    <w:gridCol w:w="2201"/>
                    <w:gridCol w:w="1963"/>
                  </w:tblGrid>
                  <w:tr w:rsidR="00AC7D70">
                    <w:trPr>
                      <w:trHeight w:val="444"/>
                      <w:tblCellSpacing w:w="6" w:type="dxa"/>
                    </w:trPr>
                    <w:tc>
                      <w:tcPr>
                        <w:tcW w:w="924"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lang w:val="en-US"/>
                          </w:rPr>
                        </w:pPr>
                        <w:r>
                          <w:rPr>
                            <w:sz w:val="21"/>
                            <w:szCs w:val="21"/>
                          </w:rPr>
                          <w:t>Титр</w:t>
                        </w:r>
                        <w:r>
                          <w:rPr>
                            <w:sz w:val="21"/>
                            <w:szCs w:val="21"/>
                            <w:lang w:val="en-US"/>
                          </w:rPr>
                          <w:t xml:space="preserve"> Ig G</w:t>
                        </w:r>
                      </w:p>
                    </w:tc>
                    <w:tc>
                      <w:tcPr>
                        <w:tcW w:w="1032"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lang w:val="en-US"/>
                          </w:rPr>
                        </w:pPr>
                        <w:r>
                          <w:rPr>
                            <w:sz w:val="21"/>
                            <w:szCs w:val="21"/>
                          </w:rPr>
                          <w:t>Титр</w:t>
                        </w:r>
                        <w:r>
                          <w:rPr>
                            <w:sz w:val="21"/>
                            <w:szCs w:val="21"/>
                            <w:lang w:val="en-US"/>
                          </w:rPr>
                          <w:t xml:space="preserve"> Ig A</w:t>
                        </w:r>
                      </w:p>
                    </w:tc>
                    <w:tc>
                      <w:tcPr>
                        <w:tcW w:w="912"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Титр Ig M</w:t>
                        </w:r>
                      </w:p>
                    </w:tc>
                    <w:tc>
                      <w:tcPr>
                        <w:tcW w:w="2088"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Заключение о наличии хламидийной инфекции</w:t>
                        </w:r>
                      </w:p>
                    </w:tc>
                    <w:tc>
                      <w:tcPr>
                        <w:tcW w:w="1728"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Антибактериальное лечение</w:t>
                        </w:r>
                      </w:p>
                    </w:tc>
                  </w:tr>
                  <w:tr w:rsidR="00AC7D70">
                    <w:trPr>
                      <w:trHeight w:val="300"/>
                      <w:tblCellSpacing w:w="6" w:type="dxa"/>
                    </w:trPr>
                    <w:tc>
                      <w:tcPr>
                        <w:tcW w:w="924"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&lt;100</w:t>
                        </w:r>
                      </w:p>
                    </w:tc>
                    <w:tc>
                      <w:tcPr>
                        <w:tcW w:w="1032"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50-100</w:t>
                        </w:r>
                      </w:p>
                    </w:tc>
                    <w:tc>
                      <w:tcPr>
                        <w:tcW w:w="912"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&lt;50</w:t>
                        </w:r>
                      </w:p>
                    </w:tc>
                    <w:tc>
                      <w:tcPr>
                        <w:tcW w:w="2088"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Возможна</w:t>
                        </w:r>
                      </w:p>
                    </w:tc>
                    <w:tc>
                      <w:tcPr>
                        <w:tcW w:w="1728"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Сомнительно. Не обязательно</w:t>
                        </w:r>
                      </w:p>
                    </w:tc>
                  </w:tr>
                </w:tbl>
                <w:p w:rsidR="00AC7D70" w:rsidRDefault="00622D94">
                  <w:pPr>
                    <w:pStyle w:val="a5"/>
                    <w:spacing w:before="288" w:beforeAutospacing="0"/>
                    <w:jc w:val="both"/>
                    <w:rPr>
                      <w:sz w:val="21"/>
                      <w:szCs w:val="21"/>
                    </w:rPr>
                  </w:pPr>
                  <w:r>
                    <w:rPr>
                      <w:sz w:val="21"/>
                      <w:szCs w:val="21"/>
                    </w:rPr>
                    <w:t>Таблица 14. Первичная инфекция. Реинфекция. Реактивация. “Диагностические титры” во второй сыворотке через 10-14 дней</w:t>
                  </w:r>
                </w:p>
                <w:tbl>
                  <w:tblPr>
                    <w:tblW w:w="7212" w:type="dxa"/>
                    <w:tblCellSpacing w:w="6"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000" w:firstRow="0" w:lastRow="0" w:firstColumn="0" w:lastColumn="0" w:noHBand="0" w:noVBand="0"/>
                  </w:tblPr>
                  <w:tblGrid>
                    <w:gridCol w:w="999"/>
                    <w:gridCol w:w="1069"/>
                    <w:gridCol w:w="980"/>
                    <w:gridCol w:w="2201"/>
                    <w:gridCol w:w="1963"/>
                  </w:tblGrid>
                  <w:tr w:rsidR="00AC7D70">
                    <w:trPr>
                      <w:trHeight w:val="444"/>
                      <w:tblCellSpacing w:w="6" w:type="dxa"/>
                    </w:trPr>
                    <w:tc>
                      <w:tcPr>
                        <w:tcW w:w="936"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lang w:val="en-US"/>
                          </w:rPr>
                        </w:pPr>
                        <w:r>
                          <w:rPr>
                            <w:sz w:val="21"/>
                            <w:szCs w:val="21"/>
                          </w:rPr>
                          <w:t>Титр</w:t>
                        </w:r>
                        <w:r>
                          <w:rPr>
                            <w:sz w:val="21"/>
                            <w:szCs w:val="21"/>
                            <w:lang w:val="en-US"/>
                          </w:rPr>
                          <w:t xml:space="preserve"> Ig G</w:t>
                        </w:r>
                      </w:p>
                    </w:tc>
                    <w:tc>
                      <w:tcPr>
                        <w:tcW w:w="1008"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lang w:val="en-US"/>
                          </w:rPr>
                        </w:pPr>
                        <w:r>
                          <w:rPr>
                            <w:sz w:val="21"/>
                            <w:szCs w:val="21"/>
                          </w:rPr>
                          <w:t>Титр</w:t>
                        </w:r>
                        <w:r>
                          <w:rPr>
                            <w:sz w:val="21"/>
                            <w:szCs w:val="21"/>
                            <w:lang w:val="en-US"/>
                          </w:rPr>
                          <w:t xml:space="preserve"> Ig A</w:t>
                        </w:r>
                      </w:p>
                    </w:tc>
                    <w:tc>
                      <w:tcPr>
                        <w:tcW w:w="924"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Титр Ig M</w:t>
                        </w:r>
                      </w:p>
                    </w:tc>
                    <w:tc>
                      <w:tcPr>
                        <w:tcW w:w="2088"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Заключение о наличии хламидийной инфекции</w:t>
                        </w:r>
                      </w:p>
                    </w:tc>
                    <w:tc>
                      <w:tcPr>
                        <w:tcW w:w="1728"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Антибактериальное лечение</w:t>
                        </w:r>
                      </w:p>
                    </w:tc>
                  </w:tr>
                  <w:tr w:rsidR="00AC7D70">
                    <w:trPr>
                      <w:trHeight w:val="240"/>
                      <w:tblCellSpacing w:w="6" w:type="dxa"/>
                    </w:trPr>
                    <w:tc>
                      <w:tcPr>
                        <w:tcW w:w="936"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&gt;=200</w:t>
                        </w:r>
                      </w:p>
                    </w:tc>
                    <w:tc>
                      <w:tcPr>
                        <w:tcW w:w="1008"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&gt;=200</w:t>
                        </w:r>
                      </w:p>
                    </w:tc>
                    <w:tc>
                      <w:tcPr>
                        <w:tcW w:w="924"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&lt;50</w:t>
                        </w:r>
                      </w:p>
                    </w:tc>
                    <w:tc>
                      <w:tcPr>
                        <w:tcW w:w="2088"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Имеется</w:t>
                        </w:r>
                      </w:p>
                    </w:tc>
                    <w:tc>
                      <w:tcPr>
                        <w:tcW w:w="1728"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Показано</w:t>
                        </w:r>
                      </w:p>
                    </w:tc>
                  </w:tr>
                </w:tbl>
                <w:p w:rsidR="00AC7D70" w:rsidRDefault="00622D94">
                  <w:pPr>
                    <w:pStyle w:val="a5"/>
                    <w:spacing w:before="288" w:beforeAutospacing="0"/>
                    <w:jc w:val="both"/>
                    <w:rPr>
                      <w:sz w:val="21"/>
                      <w:szCs w:val="21"/>
                    </w:rPr>
                  </w:pPr>
                  <w:r>
                    <w:rPr>
                      <w:sz w:val="21"/>
                      <w:szCs w:val="21"/>
                    </w:rPr>
                    <w:t>Таблица 15. Хроническая персистенция антител без клинических проявлений. Диагностические титры во второй сыворотке через 10-14 дней.</w:t>
                  </w:r>
                </w:p>
                <w:tbl>
                  <w:tblPr>
                    <w:tblW w:w="7236" w:type="dxa"/>
                    <w:tblCellSpacing w:w="6"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000" w:firstRow="0" w:lastRow="0" w:firstColumn="0" w:lastColumn="0" w:noHBand="0" w:noVBand="0"/>
                  </w:tblPr>
                  <w:tblGrid>
                    <w:gridCol w:w="848"/>
                    <w:gridCol w:w="854"/>
                    <w:gridCol w:w="977"/>
                    <w:gridCol w:w="2683"/>
                    <w:gridCol w:w="1874"/>
                  </w:tblGrid>
                  <w:tr w:rsidR="00AC7D70">
                    <w:trPr>
                      <w:trHeight w:val="432"/>
                      <w:tblCellSpacing w:w="6" w:type="dxa"/>
                    </w:trPr>
                    <w:tc>
                      <w:tcPr>
                        <w:tcW w:w="852"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lang w:val="en-US"/>
                          </w:rPr>
                        </w:pPr>
                        <w:r>
                          <w:rPr>
                            <w:sz w:val="21"/>
                            <w:szCs w:val="21"/>
                          </w:rPr>
                          <w:t>Титр</w:t>
                        </w:r>
                        <w:r>
                          <w:rPr>
                            <w:sz w:val="21"/>
                            <w:szCs w:val="21"/>
                            <w:lang w:val="en-US"/>
                          </w:rPr>
                          <w:t xml:space="preserve"> Ig G</w:t>
                        </w:r>
                      </w:p>
                    </w:tc>
                    <w:tc>
                      <w:tcPr>
                        <w:tcW w:w="864"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lang w:val="en-US"/>
                          </w:rPr>
                        </w:pPr>
                        <w:r>
                          <w:rPr>
                            <w:sz w:val="21"/>
                            <w:szCs w:val="21"/>
                          </w:rPr>
                          <w:t>Титр</w:t>
                        </w:r>
                        <w:r>
                          <w:rPr>
                            <w:sz w:val="21"/>
                            <w:szCs w:val="21"/>
                            <w:lang w:val="en-US"/>
                          </w:rPr>
                          <w:t xml:space="preserve"> Ig A</w:t>
                        </w:r>
                      </w:p>
                    </w:tc>
                    <w:tc>
                      <w:tcPr>
                        <w:tcW w:w="996"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Титр Ig M</w:t>
                        </w:r>
                      </w:p>
                    </w:tc>
                    <w:tc>
                      <w:tcPr>
                        <w:tcW w:w="2748"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Заключение о наличии хламидийной инфекции</w:t>
                        </w:r>
                      </w:p>
                    </w:tc>
                    <w:tc>
                      <w:tcPr>
                        <w:tcW w:w="1632"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Антибактериальное лечение</w:t>
                        </w:r>
                      </w:p>
                    </w:tc>
                  </w:tr>
                  <w:tr w:rsidR="00AC7D70">
                    <w:trPr>
                      <w:trHeight w:val="492"/>
                      <w:tblCellSpacing w:w="6" w:type="dxa"/>
                    </w:trPr>
                    <w:tc>
                      <w:tcPr>
                        <w:tcW w:w="852"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&lt;100</w:t>
                        </w:r>
                      </w:p>
                    </w:tc>
                    <w:tc>
                      <w:tcPr>
                        <w:tcW w:w="864"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50-100</w:t>
                        </w:r>
                      </w:p>
                    </w:tc>
                    <w:tc>
                      <w:tcPr>
                        <w:tcW w:w="996"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&lt;50</w:t>
                        </w:r>
                      </w:p>
                    </w:tc>
                    <w:tc>
                      <w:tcPr>
                        <w:tcW w:w="2748"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0"/>
                            <w:szCs w:val="21"/>
                          </w:rPr>
                          <w:t>Присутствует персистирующие хламидии, вызывающие образование IgA-антител. Клининическое значение</w:t>
                        </w:r>
                        <w:r>
                          <w:rPr>
                            <w:sz w:val="21"/>
                            <w:szCs w:val="21"/>
                          </w:rPr>
                          <w:t xml:space="preserve"> </w:t>
                        </w:r>
                        <w:r>
                          <w:rPr>
                            <w:sz w:val="20"/>
                            <w:szCs w:val="21"/>
                          </w:rPr>
                          <w:t>неизвестно.</w:t>
                        </w:r>
                      </w:p>
                    </w:tc>
                    <w:tc>
                      <w:tcPr>
                        <w:tcW w:w="1632"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Не показано</w:t>
                        </w:r>
                      </w:p>
                    </w:tc>
                  </w:tr>
                </w:tbl>
                <w:p w:rsidR="00AC7D70" w:rsidRDefault="00622D94">
                  <w:pPr>
                    <w:pStyle w:val="a5"/>
                    <w:spacing w:before="144" w:beforeAutospacing="0" w:after="0" w:afterAutospacing="0"/>
                    <w:ind w:left="60" w:firstLine="384"/>
                    <w:jc w:val="both"/>
                    <w:rPr>
                      <w:sz w:val="21"/>
                      <w:szCs w:val="21"/>
                    </w:rPr>
                  </w:pPr>
                  <w:r>
                    <w:rPr>
                      <w:sz w:val="21"/>
                      <w:szCs w:val="21"/>
                    </w:rPr>
                    <w:t>В случае обследования реконвалесцентов или при выявлении повышенных титров IgG, расценивающихся как “серологическая находка” (табл. 16), динамическое наблюдение через две недели в случае отсутствия 4-х кратного повышения титра Ig G позволяет вынести заключение о неинфицированности и непоказанности антибактериального лечения (табл. 17)</w:t>
                  </w:r>
                </w:p>
                <w:p w:rsidR="00AC7D70" w:rsidRDefault="00622D94">
                  <w:pPr>
                    <w:pStyle w:val="a5"/>
                    <w:jc w:val="both"/>
                    <w:rPr>
                      <w:sz w:val="21"/>
                      <w:szCs w:val="21"/>
                    </w:rPr>
                  </w:pPr>
                  <w:r>
                    <w:rPr>
                      <w:sz w:val="21"/>
                      <w:szCs w:val="21"/>
                    </w:rPr>
                    <w:t>Таблица 16. Состояние после реконвалесценции - “остаточная серология” (сомнительно). Пограничные титры в первой сыворотке.</w:t>
                  </w:r>
                </w:p>
                <w:tbl>
                  <w:tblPr>
                    <w:tblW w:w="7260" w:type="dxa"/>
                    <w:tblCellSpacing w:w="6"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000" w:firstRow="0" w:lastRow="0" w:firstColumn="0" w:lastColumn="0" w:noHBand="0" w:noVBand="0"/>
                  </w:tblPr>
                  <w:tblGrid>
                    <w:gridCol w:w="888"/>
                    <w:gridCol w:w="870"/>
                    <w:gridCol w:w="882"/>
                    <w:gridCol w:w="2746"/>
                    <w:gridCol w:w="1874"/>
                  </w:tblGrid>
                  <w:tr w:rsidR="00AC7D70">
                    <w:trPr>
                      <w:trHeight w:val="240"/>
                      <w:tblCellSpacing w:w="6" w:type="dxa"/>
                    </w:trPr>
                    <w:tc>
                      <w:tcPr>
                        <w:tcW w:w="888"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lang w:val="en-US"/>
                          </w:rPr>
                        </w:pPr>
                        <w:r>
                          <w:rPr>
                            <w:sz w:val="21"/>
                            <w:szCs w:val="21"/>
                          </w:rPr>
                          <w:t>Титр</w:t>
                        </w:r>
                        <w:r>
                          <w:rPr>
                            <w:sz w:val="21"/>
                            <w:szCs w:val="21"/>
                            <w:lang w:val="en-US"/>
                          </w:rPr>
                          <w:t xml:space="preserve"> Ig G</w:t>
                        </w:r>
                      </w:p>
                    </w:tc>
                    <w:tc>
                      <w:tcPr>
                        <w:tcW w:w="876"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lang w:val="en-US"/>
                          </w:rPr>
                        </w:pPr>
                        <w:r>
                          <w:rPr>
                            <w:sz w:val="21"/>
                            <w:szCs w:val="21"/>
                          </w:rPr>
                          <w:t>Титр</w:t>
                        </w:r>
                        <w:r>
                          <w:rPr>
                            <w:sz w:val="21"/>
                            <w:szCs w:val="21"/>
                            <w:lang w:val="en-US"/>
                          </w:rPr>
                          <w:t xml:space="preserve"> Ig A</w:t>
                        </w:r>
                      </w:p>
                    </w:tc>
                    <w:tc>
                      <w:tcPr>
                        <w:tcW w:w="888"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Титр Ig M</w:t>
                        </w:r>
                      </w:p>
                    </w:tc>
                    <w:tc>
                      <w:tcPr>
                        <w:tcW w:w="2808"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Заключение о наличии хламидийной инфекции</w:t>
                        </w:r>
                      </w:p>
                    </w:tc>
                    <w:tc>
                      <w:tcPr>
                        <w:tcW w:w="1644"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Антибактериальное лечение</w:t>
                        </w:r>
                      </w:p>
                    </w:tc>
                  </w:tr>
                  <w:tr w:rsidR="00AC7D70">
                    <w:trPr>
                      <w:trHeight w:val="336"/>
                      <w:tblCellSpacing w:w="6" w:type="dxa"/>
                    </w:trPr>
                    <w:tc>
                      <w:tcPr>
                        <w:tcW w:w="888"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&gt;=10</w:t>
                        </w:r>
                      </w:p>
                    </w:tc>
                    <w:tc>
                      <w:tcPr>
                        <w:tcW w:w="876"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&lt;50</w:t>
                        </w:r>
                      </w:p>
                    </w:tc>
                    <w:tc>
                      <w:tcPr>
                        <w:tcW w:w="888"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&lt;50</w:t>
                        </w:r>
                      </w:p>
                    </w:tc>
                    <w:tc>
                      <w:tcPr>
                        <w:tcW w:w="2808"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Сомнительно необходимы проведение ПЦР, культ. посева</w:t>
                        </w:r>
                      </w:p>
                    </w:tc>
                    <w:tc>
                      <w:tcPr>
                        <w:tcW w:w="1644"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1"/>
                            <w:szCs w:val="21"/>
                          </w:rPr>
                        </w:pPr>
                        <w:r>
                          <w:rPr>
                            <w:sz w:val="21"/>
                            <w:szCs w:val="21"/>
                          </w:rPr>
                          <w:t>Сомнительно</w:t>
                        </w:r>
                      </w:p>
                    </w:tc>
                  </w:tr>
                </w:tbl>
                <w:p w:rsidR="00AC7D70" w:rsidRDefault="00622D94">
                  <w:pPr>
                    <w:pStyle w:val="a5"/>
                    <w:spacing w:before="288" w:beforeAutospacing="0"/>
                    <w:jc w:val="both"/>
                    <w:rPr>
                      <w:sz w:val="21"/>
                      <w:szCs w:val="21"/>
                    </w:rPr>
                  </w:pPr>
                  <w:r>
                    <w:rPr>
                      <w:sz w:val="21"/>
                      <w:szCs w:val="21"/>
                    </w:rPr>
                    <w:t>Таблица 17. Состояние после реконвалесценции - “остаточная серология”. Диагностические титры во второй сыворотке через 10-14 дней.</w:t>
                  </w:r>
                </w:p>
                <w:tbl>
                  <w:tblPr>
                    <w:tblW w:w="7224" w:type="dxa"/>
                    <w:tblCellSpacing w:w="6"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000" w:firstRow="0" w:lastRow="0" w:firstColumn="0" w:lastColumn="0" w:noHBand="0" w:noVBand="0"/>
                  </w:tblPr>
                  <w:tblGrid>
                    <w:gridCol w:w="841"/>
                    <w:gridCol w:w="813"/>
                    <w:gridCol w:w="939"/>
                    <w:gridCol w:w="2757"/>
                    <w:gridCol w:w="1874"/>
                  </w:tblGrid>
                  <w:tr w:rsidR="00AC7D70">
                    <w:trPr>
                      <w:trHeight w:val="228"/>
                      <w:tblCellSpacing w:w="6" w:type="dxa"/>
                    </w:trPr>
                    <w:tc>
                      <w:tcPr>
                        <w:tcW w:w="828" w:type="dxa"/>
                        <w:tcBorders>
                          <w:top w:val="outset" w:sz="6" w:space="0" w:color="auto"/>
                          <w:left w:val="outset" w:sz="6" w:space="0" w:color="auto"/>
                          <w:bottom w:val="outset" w:sz="6" w:space="0" w:color="auto"/>
                          <w:right w:val="outset" w:sz="6" w:space="0" w:color="auto"/>
                        </w:tcBorders>
                      </w:tcPr>
                      <w:p w:rsidR="00AC7D70" w:rsidRDefault="00622D94">
                        <w:pPr>
                          <w:pStyle w:val="a5"/>
                          <w:spacing w:line="228" w:lineRule="atLeast"/>
                          <w:jc w:val="both"/>
                          <w:rPr>
                            <w:sz w:val="21"/>
                            <w:szCs w:val="21"/>
                            <w:lang w:val="en-US"/>
                          </w:rPr>
                        </w:pPr>
                        <w:r>
                          <w:rPr>
                            <w:sz w:val="21"/>
                            <w:szCs w:val="21"/>
                          </w:rPr>
                          <w:t>Титр</w:t>
                        </w:r>
                        <w:r>
                          <w:rPr>
                            <w:sz w:val="21"/>
                            <w:szCs w:val="21"/>
                            <w:lang w:val="en-US"/>
                          </w:rPr>
                          <w:t xml:space="preserve"> Ig G</w:t>
                        </w:r>
                      </w:p>
                    </w:tc>
                    <w:tc>
                      <w:tcPr>
                        <w:tcW w:w="816" w:type="dxa"/>
                        <w:tcBorders>
                          <w:top w:val="outset" w:sz="6" w:space="0" w:color="auto"/>
                          <w:left w:val="outset" w:sz="6" w:space="0" w:color="auto"/>
                          <w:bottom w:val="outset" w:sz="6" w:space="0" w:color="auto"/>
                          <w:right w:val="outset" w:sz="6" w:space="0" w:color="auto"/>
                        </w:tcBorders>
                      </w:tcPr>
                      <w:p w:rsidR="00AC7D70" w:rsidRDefault="00622D94">
                        <w:pPr>
                          <w:pStyle w:val="a5"/>
                          <w:spacing w:line="228" w:lineRule="atLeast"/>
                          <w:jc w:val="both"/>
                          <w:rPr>
                            <w:sz w:val="21"/>
                            <w:szCs w:val="21"/>
                            <w:lang w:val="en-US"/>
                          </w:rPr>
                        </w:pPr>
                        <w:r>
                          <w:rPr>
                            <w:sz w:val="21"/>
                            <w:szCs w:val="21"/>
                          </w:rPr>
                          <w:t>Титр</w:t>
                        </w:r>
                        <w:r>
                          <w:rPr>
                            <w:sz w:val="21"/>
                            <w:szCs w:val="21"/>
                            <w:lang w:val="en-US"/>
                          </w:rPr>
                          <w:t xml:space="preserve"> Ig A</w:t>
                        </w:r>
                      </w:p>
                    </w:tc>
                    <w:tc>
                      <w:tcPr>
                        <w:tcW w:w="948" w:type="dxa"/>
                        <w:tcBorders>
                          <w:top w:val="outset" w:sz="6" w:space="0" w:color="auto"/>
                          <w:left w:val="outset" w:sz="6" w:space="0" w:color="auto"/>
                          <w:bottom w:val="outset" w:sz="6" w:space="0" w:color="auto"/>
                          <w:right w:val="outset" w:sz="6" w:space="0" w:color="auto"/>
                        </w:tcBorders>
                      </w:tcPr>
                      <w:p w:rsidR="00AC7D70" w:rsidRDefault="00622D94">
                        <w:pPr>
                          <w:pStyle w:val="a5"/>
                          <w:spacing w:line="228" w:lineRule="atLeast"/>
                          <w:jc w:val="both"/>
                          <w:rPr>
                            <w:sz w:val="21"/>
                            <w:szCs w:val="21"/>
                          </w:rPr>
                        </w:pPr>
                        <w:r>
                          <w:rPr>
                            <w:sz w:val="21"/>
                            <w:szCs w:val="21"/>
                          </w:rPr>
                          <w:t>Титр Ig M</w:t>
                        </w:r>
                      </w:p>
                    </w:tc>
                    <w:tc>
                      <w:tcPr>
                        <w:tcW w:w="2820" w:type="dxa"/>
                        <w:tcBorders>
                          <w:top w:val="outset" w:sz="6" w:space="0" w:color="auto"/>
                          <w:left w:val="outset" w:sz="6" w:space="0" w:color="auto"/>
                          <w:bottom w:val="outset" w:sz="6" w:space="0" w:color="auto"/>
                          <w:right w:val="outset" w:sz="6" w:space="0" w:color="auto"/>
                        </w:tcBorders>
                      </w:tcPr>
                      <w:p w:rsidR="00AC7D70" w:rsidRDefault="00622D94">
                        <w:pPr>
                          <w:pStyle w:val="a5"/>
                          <w:spacing w:line="228" w:lineRule="atLeast"/>
                          <w:jc w:val="both"/>
                          <w:rPr>
                            <w:sz w:val="21"/>
                            <w:szCs w:val="21"/>
                          </w:rPr>
                        </w:pPr>
                        <w:r>
                          <w:rPr>
                            <w:sz w:val="21"/>
                            <w:szCs w:val="21"/>
                          </w:rPr>
                          <w:t>Заключение о наличии хламидийной инфекции</w:t>
                        </w:r>
                      </w:p>
                    </w:tc>
                    <w:tc>
                      <w:tcPr>
                        <w:tcW w:w="1656" w:type="dxa"/>
                        <w:tcBorders>
                          <w:top w:val="outset" w:sz="6" w:space="0" w:color="auto"/>
                          <w:left w:val="outset" w:sz="6" w:space="0" w:color="auto"/>
                          <w:bottom w:val="outset" w:sz="6" w:space="0" w:color="auto"/>
                          <w:right w:val="outset" w:sz="6" w:space="0" w:color="auto"/>
                        </w:tcBorders>
                      </w:tcPr>
                      <w:p w:rsidR="00AC7D70" w:rsidRDefault="00622D94">
                        <w:pPr>
                          <w:pStyle w:val="a5"/>
                          <w:spacing w:line="228" w:lineRule="atLeast"/>
                          <w:jc w:val="both"/>
                          <w:rPr>
                            <w:sz w:val="21"/>
                            <w:szCs w:val="21"/>
                          </w:rPr>
                        </w:pPr>
                        <w:r>
                          <w:rPr>
                            <w:sz w:val="21"/>
                            <w:szCs w:val="21"/>
                          </w:rPr>
                          <w:t>Антибактериальное лечение</w:t>
                        </w:r>
                      </w:p>
                    </w:tc>
                  </w:tr>
                  <w:tr w:rsidR="00AC7D70">
                    <w:trPr>
                      <w:trHeight w:val="216"/>
                      <w:tblCellSpacing w:w="6" w:type="dxa"/>
                    </w:trPr>
                    <w:tc>
                      <w:tcPr>
                        <w:tcW w:w="828" w:type="dxa"/>
                        <w:tcBorders>
                          <w:top w:val="outset" w:sz="6" w:space="0" w:color="auto"/>
                          <w:left w:val="outset" w:sz="6" w:space="0" w:color="auto"/>
                          <w:bottom w:val="outset" w:sz="6" w:space="0" w:color="auto"/>
                          <w:right w:val="outset" w:sz="6" w:space="0" w:color="auto"/>
                        </w:tcBorders>
                      </w:tcPr>
                      <w:p w:rsidR="00AC7D70" w:rsidRDefault="00622D94">
                        <w:pPr>
                          <w:pStyle w:val="a5"/>
                          <w:spacing w:line="216" w:lineRule="atLeast"/>
                          <w:jc w:val="both"/>
                          <w:rPr>
                            <w:sz w:val="21"/>
                            <w:szCs w:val="21"/>
                          </w:rPr>
                        </w:pPr>
                        <w:r>
                          <w:rPr>
                            <w:sz w:val="21"/>
                            <w:szCs w:val="21"/>
                          </w:rPr>
                          <w:t>&gt;=100*</w:t>
                        </w:r>
                      </w:p>
                    </w:tc>
                    <w:tc>
                      <w:tcPr>
                        <w:tcW w:w="816" w:type="dxa"/>
                        <w:tcBorders>
                          <w:top w:val="outset" w:sz="6" w:space="0" w:color="auto"/>
                          <w:left w:val="outset" w:sz="6" w:space="0" w:color="auto"/>
                          <w:bottom w:val="outset" w:sz="6" w:space="0" w:color="auto"/>
                          <w:right w:val="outset" w:sz="6" w:space="0" w:color="auto"/>
                        </w:tcBorders>
                      </w:tcPr>
                      <w:p w:rsidR="00AC7D70" w:rsidRDefault="00622D94">
                        <w:pPr>
                          <w:pStyle w:val="a5"/>
                          <w:spacing w:line="216" w:lineRule="atLeast"/>
                          <w:jc w:val="both"/>
                          <w:rPr>
                            <w:sz w:val="21"/>
                            <w:szCs w:val="21"/>
                          </w:rPr>
                        </w:pPr>
                        <w:r>
                          <w:rPr>
                            <w:sz w:val="21"/>
                            <w:szCs w:val="21"/>
                          </w:rPr>
                          <w:t>&lt;50</w:t>
                        </w:r>
                      </w:p>
                    </w:tc>
                    <w:tc>
                      <w:tcPr>
                        <w:tcW w:w="948" w:type="dxa"/>
                        <w:tcBorders>
                          <w:top w:val="outset" w:sz="6" w:space="0" w:color="auto"/>
                          <w:left w:val="outset" w:sz="6" w:space="0" w:color="auto"/>
                          <w:bottom w:val="outset" w:sz="6" w:space="0" w:color="auto"/>
                          <w:right w:val="outset" w:sz="6" w:space="0" w:color="auto"/>
                        </w:tcBorders>
                      </w:tcPr>
                      <w:p w:rsidR="00AC7D70" w:rsidRDefault="00622D94">
                        <w:pPr>
                          <w:pStyle w:val="a5"/>
                          <w:spacing w:line="216" w:lineRule="atLeast"/>
                          <w:jc w:val="both"/>
                          <w:rPr>
                            <w:sz w:val="21"/>
                            <w:szCs w:val="21"/>
                          </w:rPr>
                        </w:pPr>
                        <w:r>
                          <w:rPr>
                            <w:sz w:val="21"/>
                            <w:szCs w:val="21"/>
                          </w:rPr>
                          <w:t>&lt;50</w:t>
                        </w:r>
                      </w:p>
                    </w:tc>
                    <w:tc>
                      <w:tcPr>
                        <w:tcW w:w="2820" w:type="dxa"/>
                        <w:tcBorders>
                          <w:top w:val="outset" w:sz="6" w:space="0" w:color="auto"/>
                          <w:left w:val="outset" w:sz="6" w:space="0" w:color="auto"/>
                          <w:bottom w:val="outset" w:sz="6" w:space="0" w:color="auto"/>
                          <w:right w:val="outset" w:sz="6" w:space="0" w:color="auto"/>
                        </w:tcBorders>
                      </w:tcPr>
                      <w:p w:rsidR="00AC7D70" w:rsidRDefault="00622D94">
                        <w:pPr>
                          <w:pStyle w:val="a5"/>
                          <w:spacing w:line="216" w:lineRule="atLeast"/>
                          <w:jc w:val="both"/>
                          <w:rPr>
                            <w:sz w:val="21"/>
                            <w:szCs w:val="21"/>
                          </w:rPr>
                        </w:pPr>
                        <w:r>
                          <w:rPr>
                            <w:sz w:val="21"/>
                            <w:szCs w:val="21"/>
                          </w:rPr>
                          <w:t>Отсутствует</w:t>
                        </w:r>
                      </w:p>
                    </w:tc>
                    <w:tc>
                      <w:tcPr>
                        <w:tcW w:w="1656" w:type="dxa"/>
                        <w:tcBorders>
                          <w:top w:val="outset" w:sz="6" w:space="0" w:color="auto"/>
                          <w:left w:val="outset" w:sz="6" w:space="0" w:color="auto"/>
                          <w:bottom w:val="outset" w:sz="6" w:space="0" w:color="auto"/>
                          <w:right w:val="outset" w:sz="6" w:space="0" w:color="auto"/>
                        </w:tcBorders>
                      </w:tcPr>
                      <w:p w:rsidR="00AC7D70" w:rsidRDefault="00622D94">
                        <w:pPr>
                          <w:pStyle w:val="a5"/>
                          <w:spacing w:line="216" w:lineRule="atLeast"/>
                          <w:jc w:val="both"/>
                          <w:rPr>
                            <w:sz w:val="21"/>
                            <w:szCs w:val="21"/>
                          </w:rPr>
                        </w:pPr>
                        <w:r>
                          <w:rPr>
                            <w:sz w:val="21"/>
                            <w:szCs w:val="21"/>
                          </w:rPr>
                          <w:t>Не показано</w:t>
                        </w:r>
                      </w:p>
                    </w:tc>
                  </w:tr>
                </w:tbl>
                <w:p w:rsidR="00AC7D70" w:rsidRDefault="00622D94">
                  <w:pPr>
                    <w:pStyle w:val="a5"/>
                    <w:spacing w:before="0" w:beforeAutospacing="0" w:after="0" w:afterAutospacing="0"/>
                    <w:ind w:left="60" w:firstLine="384"/>
                    <w:jc w:val="both"/>
                    <w:rPr>
                      <w:sz w:val="21"/>
                      <w:szCs w:val="21"/>
                    </w:rPr>
                  </w:pPr>
                  <w:r>
                    <w:rPr>
                      <w:sz w:val="21"/>
                      <w:szCs w:val="21"/>
                    </w:rPr>
                    <w:t>* - в случае отсутствия 4-х кратного повышения титра между первой и второй сыворотками. Если это повышение имеется, то отмечается текущая инфекция.</w:t>
                  </w:r>
                </w:p>
                <w:p w:rsidR="00AC7D70" w:rsidRDefault="00622D94">
                  <w:pPr>
                    <w:pStyle w:val="a5"/>
                    <w:spacing w:before="0" w:beforeAutospacing="0" w:after="0" w:afterAutospacing="0"/>
                    <w:ind w:left="60" w:firstLine="384"/>
                    <w:jc w:val="both"/>
                    <w:rPr>
                      <w:sz w:val="21"/>
                      <w:szCs w:val="21"/>
                    </w:rPr>
                  </w:pPr>
                  <w:r>
                    <w:rPr>
                      <w:sz w:val="21"/>
                      <w:szCs w:val="21"/>
                    </w:rPr>
                    <w:t> </w:t>
                  </w:r>
                </w:p>
                <w:p w:rsidR="00AC7D70" w:rsidRDefault="00622D94">
                  <w:pPr>
                    <w:pStyle w:val="a5"/>
                    <w:spacing w:before="0" w:beforeAutospacing="0" w:after="0" w:afterAutospacing="0"/>
                    <w:ind w:left="60" w:firstLine="384"/>
                    <w:jc w:val="both"/>
                    <w:rPr>
                      <w:sz w:val="21"/>
                      <w:szCs w:val="21"/>
                    </w:rPr>
                  </w:pPr>
                  <w:r>
                    <w:rPr>
                      <w:sz w:val="21"/>
                      <w:szCs w:val="21"/>
                    </w:rPr>
                    <w:t>С января 1999 г. на российском рынке появились тест-наборы С. trachomatis Ig G и Ig A pELISA medac. Они используют синтетический пептид из иммунодоминантной области МОМР. С помощью этого высокоспецифичного антигена возможно выделение С. trachomatis - специфических антител с высокой чувствительностью среди общих антихламидийных антител с высокой степенью чувствительности.</w:t>
                  </w:r>
                </w:p>
                <w:p w:rsidR="00AC7D70" w:rsidRDefault="00622D94">
                  <w:pPr>
                    <w:pStyle w:val="a5"/>
                    <w:spacing w:before="0" w:beforeAutospacing="0" w:after="0" w:afterAutospacing="0"/>
                    <w:ind w:left="60" w:firstLine="384"/>
                    <w:jc w:val="both"/>
                    <w:rPr>
                      <w:sz w:val="21"/>
                      <w:szCs w:val="21"/>
                    </w:rPr>
                  </w:pPr>
                  <w:r>
                    <w:rPr>
                      <w:sz w:val="21"/>
                      <w:szCs w:val="21"/>
                    </w:rPr>
                    <w:t>Преимущества теста:</w:t>
                  </w:r>
                </w:p>
                <w:p w:rsidR="00AC7D70" w:rsidRDefault="00622D94">
                  <w:pPr>
                    <w:pStyle w:val="a5"/>
                    <w:spacing w:before="0" w:beforeAutospacing="0" w:after="0" w:afterAutospacing="0"/>
                    <w:ind w:left="60" w:firstLine="384"/>
                    <w:jc w:val="both"/>
                    <w:rPr>
                      <w:sz w:val="21"/>
                      <w:szCs w:val="21"/>
                    </w:rPr>
                  </w:pPr>
                  <w:r>
                    <w:rPr>
                      <w:sz w:val="21"/>
                      <w:szCs w:val="21"/>
                    </w:rPr>
                    <w:t>-отсутствие ложноположительных результатов, обусловленных межвидовой перекрестной реакцией хламидий;</w:t>
                  </w:r>
                </w:p>
                <w:p w:rsidR="00AC7D70" w:rsidRDefault="00622D94">
                  <w:pPr>
                    <w:pStyle w:val="a5"/>
                    <w:spacing w:before="0" w:beforeAutospacing="0" w:after="0" w:afterAutospacing="0"/>
                    <w:ind w:left="60" w:firstLine="384"/>
                    <w:jc w:val="both"/>
                    <w:rPr>
                      <w:sz w:val="21"/>
                      <w:szCs w:val="21"/>
                    </w:rPr>
                  </w:pPr>
                  <w:r>
                    <w:rPr>
                      <w:sz w:val="21"/>
                      <w:szCs w:val="21"/>
                    </w:rPr>
                    <w:t>-отсутствие инфицированного антигенного материала;</w:t>
                  </w:r>
                </w:p>
                <w:p w:rsidR="00AC7D70" w:rsidRDefault="00622D94">
                  <w:pPr>
                    <w:pStyle w:val="a5"/>
                    <w:spacing w:before="0" w:beforeAutospacing="0" w:after="0" w:afterAutospacing="0"/>
                    <w:ind w:left="60" w:firstLine="384"/>
                    <w:jc w:val="both"/>
                    <w:rPr>
                      <w:sz w:val="21"/>
                      <w:szCs w:val="21"/>
                    </w:rPr>
                  </w:pPr>
                  <w:r>
                    <w:rPr>
                      <w:sz w:val="21"/>
                      <w:szCs w:val="21"/>
                    </w:rPr>
                    <w:t>-химически точная структура антигена;</w:t>
                  </w:r>
                </w:p>
                <w:p w:rsidR="00AC7D70" w:rsidRDefault="00622D94">
                  <w:pPr>
                    <w:pStyle w:val="a5"/>
                    <w:spacing w:before="0" w:beforeAutospacing="0" w:after="0" w:afterAutospacing="0"/>
                    <w:ind w:left="60" w:firstLine="384"/>
                    <w:jc w:val="both"/>
                    <w:rPr>
                      <w:sz w:val="21"/>
                      <w:szCs w:val="21"/>
                    </w:rPr>
                  </w:pPr>
                  <w:r>
                    <w:rPr>
                      <w:sz w:val="21"/>
                      <w:szCs w:val="21"/>
                    </w:rPr>
                    <w:t>-наличие стрипов позволяет экономично использовать тесты;</w:t>
                  </w:r>
                </w:p>
                <w:p w:rsidR="00AC7D70" w:rsidRDefault="00622D94">
                  <w:pPr>
                    <w:pStyle w:val="a5"/>
                    <w:spacing w:before="0" w:beforeAutospacing="0" w:after="0" w:afterAutospacing="0"/>
                    <w:ind w:left="60" w:firstLine="384"/>
                    <w:jc w:val="both"/>
                    <w:rPr>
                      <w:sz w:val="21"/>
                      <w:szCs w:val="21"/>
                    </w:rPr>
                  </w:pPr>
                  <w:r>
                    <w:rPr>
                      <w:sz w:val="21"/>
                      <w:szCs w:val="21"/>
                    </w:rPr>
                    <w:t>-пригоден для использования на автоматических открытых системах для ИФА.</w:t>
                  </w:r>
                </w:p>
                <w:p w:rsidR="00AC7D70" w:rsidRDefault="00622D94">
                  <w:pPr>
                    <w:pStyle w:val="a5"/>
                    <w:spacing w:before="0" w:beforeAutospacing="0" w:after="0" w:afterAutospacing="0"/>
                    <w:ind w:left="60" w:firstLine="384"/>
                    <w:jc w:val="both"/>
                    <w:rPr>
                      <w:sz w:val="21"/>
                      <w:szCs w:val="21"/>
                    </w:rPr>
                  </w:pPr>
                  <w:r>
                    <w:rPr>
                      <w:sz w:val="21"/>
                      <w:szCs w:val="21"/>
                    </w:rPr>
                    <w:t> </w:t>
                  </w:r>
                </w:p>
                <w:p w:rsidR="00AC7D70" w:rsidRDefault="00622D94">
                  <w:pPr>
                    <w:pStyle w:val="a5"/>
                    <w:spacing w:before="0" w:beforeAutospacing="0" w:after="0" w:afterAutospacing="0"/>
                    <w:ind w:left="60" w:firstLine="384"/>
                    <w:jc w:val="both"/>
                    <w:rPr>
                      <w:sz w:val="21"/>
                      <w:szCs w:val="21"/>
                    </w:rPr>
                  </w:pPr>
                  <w:r>
                    <w:rPr>
                      <w:sz w:val="21"/>
                      <w:szCs w:val="21"/>
                    </w:rPr>
                    <w:t>ЗАО "Вектор-Бест" (Новосибирск) производит следующие тест-системы для диагностики хламидиоза методом ИФА:</w:t>
                  </w:r>
                </w:p>
                <w:p w:rsidR="00AC7D70" w:rsidRDefault="00622D94">
                  <w:pPr>
                    <w:pStyle w:val="a5"/>
                    <w:spacing w:before="0" w:beforeAutospacing="0" w:after="0" w:afterAutospacing="0"/>
                    <w:ind w:left="60" w:firstLine="384"/>
                    <w:jc w:val="both"/>
                    <w:rPr>
                      <w:sz w:val="21"/>
                      <w:szCs w:val="21"/>
                    </w:rPr>
                  </w:pPr>
                  <w:r>
                    <w:rPr>
                      <w:sz w:val="21"/>
                      <w:szCs w:val="21"/>
                    </w:rPr>
                    <w:t>- ХламиБест-Ig G-стрип для выявления иммуноглобулинов классов G к С. trachomatis и С. psittacci в сыворотке крови ;</w:t>
                  </w:r>
                </w:p>
                <w:p w:rsidR="00AC7D70" w:rsidRDefault="00622D94">
                  <w:pPr>
                    <w:pStyle w:val="a5"/>
                    <w:spacing w:before="0" w:beforeAutospacing="0" w:after="0" w:afterAutospacing="0"/>
                    <w:ind w:left="60" w:firstLine="384"/>
                    <w:jc w:val="both"/>
                    <w:rPr>
                      <w:sz w:val="21"/>
                      <w:szCs w:val="21"/>
                    </w:rPr>
                  </w:pPr>
                  <w:r>
                    <w:rPr>
                      <w:sz w:val="21"/>
                      <w:szCs w:val="21"/>
                      <w:lang w:val="en-US"/>
                    </w:rPr>
                    <w:t xml:space="preserve">- </w:t>
                  </w:r>
                  <w:r>
                    <w:rPr>
                      <w:sz w:val="21"/>
                      <w:szCs w:val="21"/>
                    </w:rPr>
                    <w:t>ХламиБест</w:t>
                  </w:r>
                  <w:r>
                    <w:rPr>
                      <w:sz w:val="21"/>
                      <w:szCs w:val="21"/>
                      <w:lang w:val="en-US"/>
                    </w:rPr>
                    <w:t>-Trachomatis Ig G-</w:t>
                  </w:r>
                  <w:r>
                    <w:rPr>
                      <w:sz w:val="21"/>
                      <w:szCs w:val="21"/>
                    </w:rPr>
                    <w:t>стрип</w:t>
                  </w:r>
                  <w:r>
                    <w:rPr>
                      <w:sz w:val="21"/>
                      <w:szCs w:val="21"/>
                      <w:lang w:val="en-US"/>
                    </w:rPr>
                    <w:t xml:space="preserve">. </w:t>
                  </w:r>
                  <w:r>
                    <w:rPr>
                      <w:sz w:val="21"/>
                      <w:szCs w:val="21"/>
                    </w:rPr>
                    <w:t>Тест-система иммуноферментная для выявления иммуноглобулинов класса G к Chlamydia trachomatis в сыворотке (плазме)крови;</w:t>
                  </w:r>
                </w:p>
                <w:p w:rsidR="00AC7D70" w:rsidRDefault="00622D94">
                  <w:pPr>
                    <w:pStyle w:val="a5"/>
                    <w:spacing w:before="0" w:beforeAutospacing="0" w:after="0" w:afterAutospacing="0"/>
                    <w:ind w:left="60" w:firstLine="384"/>
                    <w:jc w:val="both"/>
                    <w:rPr>
                      <w:sz w:val="21"/>
                      <w:szCs w:val="21"/>
                    </w:rPr>
                  </w:pPr>
                  <w:r>
                    <w:rPr>
                      <w:sz w:val="21"/>
                      <w:szCs w:val="21"/>
                    </w:rPr>
                    <w:t>-ХламиБест-Ig M - стрип. Тест-система иммуноферментная для выявления иммуноглобулинов класса М к Chlamydia trachomatis и Chlamydia psrttaci;</w:t>
                  </w:r>
                </w:p>
                <w:p w:rsidR="00AC7D70" w:rsidRDefault="00622D94">
                  <w:pPr>
                    <w:pStyle w:val="a5"/>
                    <w:spacing w:before="0" w:beforeAutospacing="0" w:after="0" w:afterAutospacing="0"/>
                    <w:ind w:left="60" w:firstLine="384"/>
                    <w:jc w:val="both"/>
                    <w:rPr>
                      <w:sz w:val="21"/>
                      <w:szCs w:val="21"/>
                    </w:rPr>
                  </w:pPr>
                  <w:r>
                    <w:rPr>
                      <w:sz w:val="21"/>
                      <w:szCs w:val="21"/>
                    </w:rPr>
                    <w:t>- ВектоХлами-антиген-стрип. Тест-система для выявления антигена Chlamydia trachomatis. Хромоген-ОФД.</w:t>
                  </w:r>
                </w:p>
                <w:p w:rsidR="00AC7D70" w:rsidRDefault="00622D94">
                  <w:pPr>
                    <w:pStyle w:val="a5"/>
                    <w:spacing w:before="0" w:beforeAutospacing="0" w:after="0" w:afterAutospacing="0"/>
                    <w:ind w:left="60" w:firstLine="384"/>
                    <w:jc w:val="both"/>
                    <w:rPr>
                      <w:sz w:val="21"/>
                      <w:szCs w:val="21"/>
                    </w:rPr>
                  </w:pPr>
                  <w:r>
                    <w:rPr>
                      <w:sz w:val="21"/>
                      <w:szCs w:val="21"/>
                    </w:rPr>
                    <w:t>-ВектоХлами-антиген-стрип. Тест-система для выявления антигена Chlamydia trachomatis.</w:t>
                  </w:r>
                </w:p>
                <w:p w:rsidR="00AC7D70" w:rsidRDefault="00622D94">
                  <w:pPr>
                    <w:pStyle w:val="a5"/>
                    <w:spacing w:before="0" w:beforeAutospacing="0" w:after="0" w:afterAutospacing="0"/>
                    <w:ind w:left="60" w:firstLine="384"/>
                    <w:jc w:val="both"/>
                    <w:rPr>
                      <w:sz w:val="21"/>
                      <w:szCs w:val="21"/>
                    </w:rPr>
                  </w:pPr>
                  <w:r>
                    <w:rPr>
                      <w:sz w:val="21"/>
                      <w:szCs w:val="21"/>
                    </w:rPr>
                    <w:t> </w:t>
                  </w:r>
                </w:p>
                <w:p w:rsidR="00AC7D70" w:rsidRDefault="00622D94">
                  <w:pPr>
                    <w:pStyle w:val="a5"/>
                    <w:spacing w:before="0" w:beforeAutospacing="0" w:after="0" w:afterAutospacing="0"/>
                    <w:ind w:left="60" w:firstLine="384"/>
                    <w:jc w:val="both"/>
                    <w:rPr>
                      <w:sz w:val="21"/>
                      <w:szCs w:val="21"/>
                    </w:rPr>
                  </w:pPr>
                  <w:r>
                    <w:rPr>
                      <w:sz w:val="21"/>
                      <w:szCs w:val="21"/>
                    </w:rPr>
                    <w:t>Имеются реактивы различных фирм для экспресс-диагностики хламидийной инфекции, учет реакции через 10-15 минут визуальный. Однако чувствительность этих методов невысока - 50-60%, они могут быть использованы только для скриннинговых исследований.</w:t>
                  </w:r>
                  <w:r>
                    <w:rPr>
                      <w:color w:val="000000"/>
                      <w:sz w:val="21"/>
                      <w:szCs w:val="21"/>
                    </w:rPr>
                    <w:t xml:space="preserve"> </w:t>
                  </w:r>
                </w:p>
              </w:tc>
            </w:tr>
          </w:tbl>
          <w:p w:rsidR="00AC7D70" w:rsidRDefault="00AC7D70">
            <w:pPr>
              <w:spacing w:line="12" w:lineRule="atLeast"/>
              <w:jc w:val="both"/>
              <w:rPr>
                <w:sz w:val="21"/>
                <w:szCs w:val="21"/>
              </w:rPr>
            </w:pPr>
          </w:p>
        </w:tc>
      </w:tr>
      <w:tr w:rsidR="00AC7D70">
        <w:trPr>
          <w:gridAfter w:val="1"/>
          <w:wAfter w:w="824" w:type="dxa"/>
          <w:trHeight w:val="1055"/>
          <w:tblCellSpacing w:w="6" w:type="dxa"/>
          <w:hidden/>
        </w:trPr>
        <w:tc>
          <w:tcPr>
            <w:tcW w:w="7738" w:type="dxa"/>
          </w:tcPr>
          <w:p w:rsidR="00AC7D70" w:rsidRDefault="00AC7D70">
            <w:pPr>
              <w:jc w:val="both"/>
              <w:rPr>
                <w:vanish/>
                <w:sz w:val="21"/>
                <w:szCs w:val="21"/>
              </w:rPr>
            </w:pPr>
          </w:p>
          <w:tbl>
            <w:tblPr>
              <w:tblW w:w="7656" w:type="dxa"/>
              <w:jc w:val="center"/>
              <w:tblCellSpacing w:w="6" w:type="dxa"/>
              <w:tblCellMar>
                <w:top w:w="108" w:type="dxa"/>
                <w:bottom w:w="108" w:type="dxa"/>
              </w:tblCellMar>
              <w:tblLook w:val="0000" w:firstRow="0" w:lastRow="0" w:firstColumn="0" w:lastColumn="0" w:noHBand="0" w:noVBand="0"/>
            </w:tblPr>
            <w:tblGrid>
              <w:gridCol w:w="7656"/>
            </w:tblGrid>
            <w:tr w:rsidR="00AC7D70">
              <w:trPr>
                <w:trHeight w:val="749"/>
                <w:tblCellSpacing w:w="6" w:type="dxa"/>
                <w:jc w:val="center"/>
              </w:trPr>
              <w:tc>
                <w:tcPr>
                  <w:tcW w:w="7632" w:type="dxa"/>
                </w:tcPr>
                <w:p w:rsidR="00AC7D70" w:rsidRDefault="00622D94">
                  <w:pPr>
                    <w:pStyle w:val="a5"/>
                    <w:spacing w:before="0" w:beforeAutospacing="0" w:after="144" w:afterAutospacing="0"/>
                    <w:ind w:left="60"/>
                    <w:jc w:val="center"/>
                    <w:rPr>
                      <w:i/>
                      <w:iCs/>
                      <w:szCs w:val="21"/>
                    </w:rPr>
                  </w:pPr>
                  <w:r>
                    <w:rPr>
                      <w:i/>
                      <w:iCs/>
                      <w:szCs w:val="21"/>
                    </w:rPr>
                    <w:t>Диагностика хламидий на культуре клеток МсСоу</w:t>
                  </w:r>
                </w:p>
                <w:p w:rsidR="00AC7D70" w:rsidRDefault="00622D94">
                  <w:pPr>
                    <w:pStyle w:val="a5"/>
                    <w:spacing w:before="0" w:beforeAutospacing="0" w:after="0" w:afterAutospacing="0"/>
                    <w:ind w:left="60" w:firstLine="384"/>
                    <w:jc w:val="both"/>
                    <w:rPr>
                      <w:sz w:val="21"/>
                      <w:szCs w:val="21"/>
                    </w:rPr>
                  </w:pPr>
                  <w:r>
                    <w:rPr>
                      <w:sz w:val="21"/>
                      <w:szCs w:val="21"/>
                    </w:rPr>
                    <w:t>Одним из лучших, но в то же время наиболее трудоемким является метод диагностики хламидий путем изоляции возбудителя на культуре клеток, обработанных различными антиметаболитами (“золотой стандарт”) Для этой цели обычно используют чувствительную культуру клеток, обработанную циклогексимидом. Чувствительность культурального метода по сравнению с ПЦР составляет 70-80%, но в то же время он превосходит молекулярно-биологические методы диагностики по специфичности. В литературе описаны случаи выявления хламидий трахоматис методом ПЦР при отрицательных результатах культурального теста и наоборот.</w:t>
                  </w:r>
                </w:p>
                <w:p w:rsidR="00AC7D70" w:rsidRDefault="00622D94">
                  <w:pPr>
                    <w:pStyle w:val="a5"/>
                    <w:spacing w:before="144" w:beforeAutospacing="0" w:after="0" w:afterAutospacing="0"/>
                    <w:ind w:left="60" w:firstLine="384"/>
                    <w:jc w:val="both"/>
                    <w:rPr>
                      <w:sz w:val="21"/>
                      <w:szCs w:val="21"/>
                    </w:rPr>
                  </w:pPr>
                  <w:r>
                    <w:rPr>
                      <w:sz w:val="21"/>
                      <w:szCs w:val="21"/>
                    </w:rPr>
                    <w:t>Показаниями для диагностики хламидийной инфекции этим методом являются:</w:t>
                  </w:r>
                </w:p>
                <w:p w:rsidR="00AC7D70" w:rsidRDefault="00622D94">
                  <w:pPr>
                    <w:pStyle w:val="a5"/>
                    <w:spacing w:before="0" w:beforeAutospacing="0" w:after="0" w:afterAutospacing="0"/>
                    <w:ind w:left="60" w:firstLine="384"/>
                    <w:jc w:val="both"/>
                    <w:rPr>
                      <w:sz w:val="21"/>
                      <w:szCs w:val="21"/>
                    </w:rPr>
                  </w:pPr>
                  <w:r>
                    <w:rPr>
                      <w:sz w:val="21"/>
                      <w:szCs w:val="21"/>
                    </w:rPr>
                    <w:t>1 Беременность с отягощенным акушерским анамнезом.</w:t>
                  </w:r>
                </w:p>
                <w:p w:rsidR="00AC7D70" w:rsidRDefault="00622D94">
                  <w:pPr>
                    <w:pStyle w:val="a5"/>
                    <w:spacing w:before="0" w:beforeAutospacing="0" w:after="0" w:afterAutospacing="0"/>
                    <w:ind w:left="60" w:firstLine="384"/>
                    <w:jc w:val="both"/>
                    <w:rPr>
                      <w:sz w:val="21"/>
                      <w:szCs w:val="21"/>
                    </w:rPr>
                  </w:pPr>
                  <w:r>
                    <w:rPr>
                      <w:sz w:val="21"/>
                      <w:szCs w:val="21"/>
                    </w:rPr>
                    <w:t>2. Оценка эффективности проведенного антибактериального лечения.</w:t>
                  </w:r>
                </w:p>
                <w:p w:rsidR="00AC7D70" w:rsidRDefault="00622D94">
                  <w:pPr>
                    <w:pStyle w:val="a5"/>
                    <w:spacing w:before="0" w:beforeAutospacing="0" w:after="0" w:afterAutospacing="0"/>
                    <w:ind w:left="60" w:firstLine="384"/>
                    <w:jc w:val="both"/>
                    <w:rPr>
                      <w:sz w:val="21"/>
                      <w:szCs w:val="21"/>
                    </w:rPr>
                  </w:pPr>
                  <w:r>
                    <w:rPr>
                      <w:sz w:val="21"/>
                      <w:szCs w:val="21"/>
                    </w:rPr>
                    <w:t>3. Выявление чувствительности и резистентности к антибактериальным</w:t>
                  </w:r>
                </w:p>
                <w:p w:rsidR="00AC7D70" w:rsidRDefault="00622D94">
                  <w:pPr>
                    <w:pStyle w:val="a5"/>
                    <w:spacing w:before="0" w:beforeAutospacing="0" w:after="0" w:afterAutospacing="0"/>
                    <w:ind w:left="60" w:firstLine="384"/>
                    <w:jc w:val="both"/>
                    <w:rPr>
                      <w:sz w:val="21"/>
                      <w:szCs w:val="21"/>
                    </w:rPr>
                  </w:pPr>
                  <w:r>
                    <w:rPr>
                      <w:sz w:val="21"/>
                      <w:szCs w:val="21"/>
                    </w:rPr>
                    <w:t>препаратам.</w:t>
                  </w:r>
                </w:p>
                <w:p w:rsidR="00AC7D70" w:rsidRDefault="00622D94">
                  <w:pPr>
                    <w:pStyle w:val="a5"/>
                    <w:spacing w:before="0" w:beforeAutospacing="0" w:after="0" w:afterAutospacing="0"/>
                    <w:ind w:left="60" w:firstLine="384"/>
                    <w:jc w:val="both"/>
                    <w:rPr>
                      <w:sz w:val="21"/>
                      <w:szCs w:val="21"/>
                    </w:rPr>
                  </w:pPr>
                  <w:r>
                    <w:rPr>
                      <w:sz w:val="21"/>
                      <w:szCs w:val="21"/>
                    </w:rPr>
                    <w:t>4. Выявление хламидий у ВИЧ-инфицированных или лиц со вторичными иммунодефицитными состояниями (онкологические больные после проведенных курсов лучевой и химиотерапии, трансплантации костного мозга; лица, получающие иммунодепрессанты; больные вирусным гепатитом и туберкулезом).</w:t>
                  </w:r>
                </w:p>
                <w:p w:rsidR="00AC7D70" w:rsidRDefault="00622D94">
                  <w:pPr>
                    <w:pStyle w:val="a5"/>
                    <w:spacing w:before="0" w:beforeAutospacing="0" w:after="0" w:afterAutospacing="0"/>
                    <w:ind w:left="60" w:firstLine="384"/>
                    <w:jc w:val="both"/>
                    <w:rPr>
                      <w:sz w:val="21"/>
                      <w:szCs w:val="21"/>
                    </w:rPr>
                  </w:pPr>
                  <w:r>
                    <w:rPr>
                      <w:sz w:val="21"/>
                      <w:szCs w:val="21"/>
                    </w:rPr>
                    <w:t>5. Бесплодие неясного генеза.</w:t>
                  </w:r>
                </w:p>
                <w:p w:rsidR="00AC7D70" w:rsidRDefault="00622D94">
                  <w:pPr>
                    <w:pStyle w:val="a5"/>
                    <w:spacing w:before="0" w:beforeAutospacing="0" w:after="144" w:afterAutospacing="0"/>
                    <w:ind w:left="60" w:firstLine="384"/>
                    <w:jc w:val="both"/>
                    <w:rPr>
                      <w:sz w:val="21"/>
                      <w:szCs w:val="21"/>
                    </w:rPr>
                  </w:pPr>
                  <w:r>
                    <w:rPr>
                      <w:sz w:val="21"/>
                      <w:szCs w:val="21"/>
                    </w:rPr>
                    <w:t>6. Установление этиологии хронического инфекционного процесса урогенитального тракта.</w:t>
                  </w:r>
                </w:p>
                <w:p w:rsidR="00AC7D70" w:rsidRDefault="00622D94">
                  <w:pPr>
                    <w:pStyle w:val="a5"/>
                    <w:spacing w:before="0" w:beforeAutospacing="0" w:after="0" w:afterAutospacing="0"/>
                    <w:ind w:left="60" w:firstLine="384"/>
                    <w:jc w:val="both"/>
                    <w:rPr>
                      <w:sz w:val="21"/>
                      <w:szCs w:val="21"/>
                    </w:rPr>
                  </w:pPr>
                  <w:r>
                    <w:rPr>
                      <w:sz w:val="21"/>
                      <w:szCs w:val="21"/>
                    </w:rPr>
                    <w:t>Культуральный посев является референс-методом при оценке эффективности антибактериального лечения. При исследовании биопроб методом ПЦР после курса химиотерапии в некоторых случаях можно получить “ложноположительные с клинической точки зрения” результаты. Это связано с тем, что невозможно однозначно оценить жизнеспособность и патогенность микробной клетки на основании выявления фрагмента ее генома, используя только данные молекулярно-биологических методов. В этом случае при исследовании клинического материала с помощью культурального посева микробные клетки, потерявшие эти важные с клинической точки зрения свойства, не дадут роста в клеточной культуре.</w:t>
                  </w:r>
                </w:p>
                <w:p w:rsidR="00AC7D70" w:rsidRDefault="00622D94">
                  <w:pPr>
                    <w:pStyle w:val="a5"/>
                    <w:spacing w:before="0" w:beforeAutospacing="0" w:after="0" w:afterAutospacing="0"/>
                    <w:ind w:left="60" w:firstLine="384"/>
                    <w:jc w:val="both"/>
                    <w:rPr>
                      <w:sz w:val="21"/>
                      <w:szCs w:val="21"/>
                    </w:rPr>
                  </w:pPr>
                  <w:r>
                    <w:rPr>
                      <w:sz w:val="21"/>
                      <w:szCs w:val="21"/>
                    </w:rPr>
                    <w:t>Для транспортировки и хранения клинического материала используют специальную питательную среду (транспортная среда). Она разливается в пенициллиновые флаконы по 1 мл и хранится при температуре + 4 ° С (в общей камере бытового холодильника) в течение 2-х месяцев. Состав транспортной среды: среда MEM с добавлением 10% сыворотки крупного рогатого скота и антибиотика гентамицина концентрации 50 мкг/мл .</w:t>
                  </w:r>
                </w:p>
                <w:p w:rsidR="00AC7D70" w:rsidRDefault="00622D94">
                  <w:pPr>
                    <w:pStyle w:val="a5"/>
                    <w:spacing w:before="0" w:beforeAutospacing="0" w:after="0" w:afterAutospacing="0"/>
                    <w:ind w:left="60" w:firstLine="384"/>
                    <w:jc w:val="both"/>
                    <w:rPr>
                      <w:sz w:val="21"/>
                      <w:szCs w:val="21"/>
                    </w:rPr>
                  </w:pPr>
                  <w:r>
                    <w:rPr>
                      <w:sz w:val="21"/>
                      <w:szCs w:val="21"/>
                    </w:rPr>
                    <w:t>Клинический материал после перенесения в транспортную среду хранится в общей камере холодильника при температуре + 4 ° С и, в течение двух суток должен быть доставлен в лабораторию.</w:t>
                  </w:r>
                </w:p>
                <w:p w:rsidR="00AC7D70" w:rsidRDefault="00622D94">
                  <w:pPr>
                    <w:pStyle w:val="a5"/>
                    <w:spacing w:before="216" w:beforeAutospacing="0" w:after="144" w:afterAutospacing="0"/>
                    <w:ind w:left="60"/>
                    <w:jc w:val="both"/>
                    <w:rPr>
                      <w:sz w:val="21"/>
                      <w:szCs w:val="21"/>
                    </w:rPr>
                  </w:pPr>
                  <w:bookmarkStart w:id="0" w:name="2"/>
                  <w:bookmarkEnd w:id="0"/>
                  <w:r>
                    <w:rPr>
                      <w:sz w:val="21"/>
                      <w:szCs w:val="21"/>
                    </w:rPr>
                    <w:t>Процедура посева</w:t>
                  </w:r>
                </w:p>
                <w:p w:rsidR="00AC7D70" w:rsidRDefault="00622D94">
                  <w:pPr>
                    <w:pStyle w:val="a5"/>
                    <w:spacing w:before="0" w:beforeAutospacing="0" w:after="0" w:afterAutospacing="0"/>
                    <w:ind w:left="60" w:firstLine="384"/>
                    <w:jc w:val="both"/>
                    <w:rPr>
                      <w:sz w:val="21"/>
                      <w:szCs w:val="21"/>
                    </w:rPr>
                  </w:pPr>
                  <w:r>
                    <w:rPr>
                      <w:sz w:val="21"/>
                      <w:szCs w:val="21"/>
                    </w:rPr>
                    <w:t>1. Обработка однодневной клеточной культуры МсСоу 1% раствором ДЕАЕ декстраном в течение 30 минут.</w:t>
                  </w:r>
                </w:p>
                <w:p w:rsidR="00AC7D70" w:rsidRDefault="00622D94">
                  <w:pPr>
                    <w:pStyle w:val="a5"/>
                    <w:spacing w:before="0" w:beforeAutospacing="0" w:after="0" w:afterAutospacing="0"/>
                    <w:ind w:left="60" w:firstLine="384"/>
                    <w:jc w:val="both"/>
                    <w:rPr>
                      <w:sz w:val="21"/>
                      <w:szCs w:val="21"/>
                    </w:rPr>
                  </w:pPr>
                  <w:r>
                    <w:rPr>
                      <w:sz w:val="21"/>
                      <w:szCs w:val="21"/>
                    </w:rPr>
                    <w:t>2. Заражение обработанных клеток материалом, полученным от больных.</w:t>
                  </w:r>
                </w:p>
                <w:p w:rsidR="00AC7D70" w:rsidRDefault="00622D94">
                  <w:pPr>
                    <w:pStyle w:val="a5"/>
                    <w:spacing w:before="0" w:beforeAutospacing="0" w:after="0" w:afterAutospacing="0"/>
                    <w:ind w:left="60" w:firstLine="384"/>
                    <w:jc w:val="both"/>
                    <w:rPr>
                      <w:sz w:val="21"/>
                      <w:szCs w:val="21"/>
                    </w:rPr>
                  </w:pPr>
                  <w:r>
                    <w:rPr>
                      <w:sz w:val="21"/>
                      <w:szCs w:val="21"/>
                    </w:rPr>
                    <w:t>3. Центрифугирование зараженных клеток при 2500 g в течение 45 минут.</w:t>
                  </w:r>
                </w:p>
                <w:p w:rsidR="00AC7D70" w:rsidRDefault="00622D94">
                  <w:pPr>
                    <w:pStyle w:val="a5"/>
                    <w:spacing w:before="0" w:beforeAutospacing="0" w:after="0" w:afterAutospacing="0"/>
                    <w:ind w:left="60" w:firstLine="384"/>
                    <w:jc w:val="both"/>
                    <w:rPr>
                      <w:sz w:val="21"/>
                      <w:szCs w:val="21"/>
                    </w:rPr>
                  </w:pPr>
                  <w:r>
                    <w:rPr>
                      <w:sz w:val="21"/>
                      <w:szCs w:val="21"/>
                    </w:rPr>
                    <w:t>4. Отмывка клеток питательной средой.</w:t>
                  </w:r>
                </w:p>
                <w:p w:rsidR="00AC7D70" w:rsidRDefault="00622D94">
                  <w:pPr>
                    <w:pStyle w:val="a5"/>
                    <w:spacing w:before="0" w:beforeAutospacing="0" w:after="0" w:afterAutospacing="0"/>
                    <w:ind w:left="60" w:firstLine="384"/>
                    <w:jc w:val="both"/>
                    <w:rPr>
                      <w:sz w:val="21"/>
                      <w:szCs w:val="21"/>
                    </w:rPr>
                  </w:pPr>
                  <w:r>
                    <w:rPr>
                      <w:sz w:val="21"/>
                      <w:szCs w:val="21"/>
                    </w:rPr>
                    <w:t>5. Добавление к клеткам ростовой среды, содержащей циклогексимид.</w:t>
                  </w:r>
                </w:p>
                <w:p w:rsidR="00AC7D70" w:rsidRDefault="00622D94">
                  <w:pPr>
                    <w:pStyle w:val="a5"/>
                    <w:spacing w:before="0" w:beforeAutospacing="0" w:after="0" w:afterAutospacing="0"/>
                    <w:ind w:left="60" w:firstLine="384"/>
                    <w:jc w:val="both"/>
                    <w:rPr>
                      <w:sz w:val="21"/>
                      <w:szCs w:val="21"/>
                    </w:rPr>
                  </w:pPr>
                  <w:r>
                    <w:rPr>
                      <w:sz w:val="21"/>
                      <w:szCs w:val="21"/>
                    </w:rPr>
                    <w:t>6. Инкубирование клеток в течение двух суток при +36 ° С.</w:t>
                  </w:r>
                </w:p>
                <w:p w:rsidR="00AC7D70" w:rsidRDefault="00622D94">
                  <w:pPr>
                    <w:pStyle w:val="a5"/>
                    <w:spacing w:before="0" w:beforeAutospacing="0" w:after="0" w:afterAutospacing="0"/>
                    <w:ind w:left="60" w:firstLine="384"/>
                    <w:jc w:val="both"/>
                    <w:rPr>
                      <w:sz w:val="21"/>
                      <w:szCs w:val="21"/>
                    </w:rPr>
                  </w:pPr>
                  <w:r>
                    <w:rPr>
                      <w:sz w:val="21"/>
                      <w:szCs w:val="21"/>
                    </w:rPr>
                    <w:t>7. Обнаружение хламидий в клетках методом прямой иммунофлюоресценции или ПЦР.</w:t>
                  </w:r>
                </w:p>
                <w:p w:rsidR="00AC7D70" w:rsidRDefault="00622D94">
                  <w:pPr>
                    <w:pStyle w:val="a5"/>
                    <w:spacing w:before="0" w:beforeAutospacing="0" w:after="0" w:afterAutospacing="0"/>
                    <w:ind w:left="60" w:firstLine="384"/>
                    <w:jc w:val="both"/>
                    <w:rPr>
                      <w:sz w:val="21"/>
                      <w:szCs w:val="21"/>
                    </w:rPr>
                  </w:pPr>
                  <w:r>
                    <w:rPr>
                      <w:sz w:val="21"/>
                      <w:szCs w:val="21"/>
                    </w:rPr>
                    <w:t>Реальный срок получения результатов этим методом - семь дней.</w:t>
                  </w:r>
                </w:p>
                <w:p w:rsidR="00AC7D70" w:rsidRDefault="00622D94">
                  <w:pPr>
                    <w:pStyle w:val="a5"/>
                    <w:spacing w:before="0" w:beforeAutospacing="0" w:after="0" w:afterAutospacing="0"/>
                    <w:ind w:left="60" w:firstLine="384"/>
                    <w:jc w:val="both"/>
                    <w:rPr>
                      <w:sz w:val="21"/>
                      <w:szCs w:val="21"/>
                    </w:rPr>
                  </w:pPr>
                  <w:r>
                    <w:rPr>
                      <w:sz w:val="21"/>
                      <w:szCs w:val="21"/>
                    </w:rPr>
                    <w:t> </w:t>
                  </w:r>
                </w:p>
                <w:p w:rsidR="00AC7D70" w:rsidRDefault="00622D94">
                  <w:pPr>
                    <w:pStyle w:val="a5"/>
                    <w:spacing w:before="0" w:beforeAutospacing="0" w:after="0" w:afterAutospacing="0"/>
                    <w:ind w:left="60" w:firstLine="384"/>
                    <w:jc w:val="both"/>
                    <w:rPr>
                      <w:sz w:val="21"/>
                      <w:szCs w:val="21"/>
                    </w:rPr>
                  </w:pPr>
                  <w:r>
                    <w:rPr>
                      <w:sz w:val="21"/>
                      <w:szCs w:val="21"/>
                    </w:rPr>
                    <w:t>В настоящее время в литературе растет число сообщений о случаях резистентности хламидий к антибактериальным препаратам (эритромицину, тетрациклину, доксициклину, фторхинолонам). Ценность культурального метода состоит в том, что он является пока единственным методом, позволяющим выбрать антибактериальный препарат для лечения хламидийной инфекции и оценить эффективность антибактериальной терапии.</w:t>
                  </w:r>
                </w:p>
                <w:p w:rsidR="00AC7D70" w:rsidRDefault="00622D94">
                  <w:pPr>
                    <w:pStyle w:val="a5"/>
                    <w:spacing w:before="216" w:beforeAutospacing="0" w:after="144" w:afterAutospacing="0"/>
                    <w:ind w:left="60"/>
                    <w:jc w:val="both"/>
                    <w:rPr>
                      <w:sz w:val="21"/>
                      <w:szCs w:val="21"/>
                    </w:rPr>
                  </w:pPr>
                  <w:bookmarkStart w:id="1" w:name="3"/>
                  <w:bookmarkEnd w:id="1"/>
                  <w:r>
                    <w:rPr>
                      <w:sz w:val="21"/>
                      <w:szCs w:val="21"/>
                    </w:rPr>
                    <w:t>Схема метода выявления устойчивости хламидий трахоматис к антибактериальным препаратам</w:t>
                  </w:r>
                </w:p>
                <w:p w:rsidR="00AC7D70" w:rsidRDefault="00622D94">
                  <w:pPr>
                    <w:pStyle w:val="a5"/>
                    <w:spacing w:before="0" w:beforeAutospacing="0" w:after="0" w:afterAutospacing="0"/>
                    <w:ind w:left="60" w:firstLine="384"/>
                    <w:jc w:val="both"/>
                    <w:rPr>
                      <w:sz w:val="21"/>
                      <w:szCs w:val="21"/>
                    </w:rPr>
                  </w:pPr>
                  <w:r>
                    <w:rPr>
                      <w:sz w:val="21"/>
                      <w:szCs w:val="21"/>
                    </w:rPr>
                    <w:t>-Хламидийным изолятом, выделенным от больного при посеве, заражают чувствительные клетки.</w:t>
                  </w:r>
                </w:p>
                <w:p w:rsidR="00AC7D70" w:rsidRDefault="00622D94">
                  <w:pPr>
                    <w:pStyle w:val="a5"/>
                    <w:spacing w:before="0" w:beforeAutospacing="0" w:after="0" w:afterAutospacing="0"/>
                    <w:ind w:left="60" w:firstLine="384"/>
                    <w:jc w:val="both"/>
                    <w:rPr>
                      <w:sz w:val="21"/>
                      <w:szCs w:val="21"/>
                    </w:rPr>
                  </w:pPr>
                  <w:r>
                    <w:rPr>
                      <w:sz w:val="21"/>
                      <w:szCs w:val="21"/>
                    </w:rPr>
                    <w:t>-К зараженным клеткам добавляют ростовую среду, содержащую антибиотик.</w:t>
                  </w:r>
                </w:p>
                <w:p w:rsidR="00AC7D70" w:rsidRDefault="00622D94">
                  <w:pPr>
                    <w:pStyle w:val="a5"/>
                    <w:spacing w:before="0" w:beforeAutospacing="0" w:after="0" w:afterAutospacing="0"/>
                    <w:ind w:left="60" w:firstLine="384"/>
                    <w:jc w:val="both"/>
                    <w:rPr>
                      <w:sz w:val="21"/>
                      <w:szCs w:val="21"/>
                    </w:rPr>
                  </w:pPr>
                  <w:r>
                    <w:rPr>
                      <w:sz w:val="21"/>
                      <w:szCs w:val="21"/>
                    </w:rPr>
                    <w:t>-Зараженные клетки инкубируют 5 дней при температуре + 36 ° С.</w:t>
                  </w:r>
                </w:p>
                <w:p w:rsidR="00AC7D70" w:rsidRDefault="00622D94">
                  <w:pPr>
                    <w:pStyle w:val="a5"/>
                    <w:spacing w:before="0" w:beforeAutospacing="0" w:after="0" w:afterAutospacing="0"/>
                    <w:ind w:left="60" w:firstLine="384"/>
                    <w:jc w:val="both"/>
                    <w:rPr>
                      <w:sz w:val="21"/>
                      <w:szCs w:val="21"/>
                    </w:rPr>
                  </w:pPr>
                  <w:r>
                    <w:rPr>
                      <w:sz w:val="21"/>
                      <w:szCs w:val="21"/>
                    </w:rPr>
                    <w:t xml:space="preserve">-Чувствительность хламидий к антибиотику определяется по подавлению инфекции в зараженных клетках. Процедура длительная, занимает по времени две недели. </w:t>
                  </w:r>
                </w:p>
              </w:tc>
            </w:tr>
          </w:tbl>
          <w:p w:rsidR="00AC7D70" w:rsidRDefault="00AC7D70">
            <w:pPr>
              <w:spacing w:line="12" w:lineRule="atLeast"/>
              <w:jc w:val="both"/>
              <w:rPr>
                <w:sz w:val="21"/>
                <w:szCs w:val="21"/>
              </w:rPr>
            </w:pPr>
          </w:p>
        </w:tc>
      </w:tr>
      <w:tr w:rsidR="00AC7D70">
        <w:trPr>
          <w:gridAfter w:val="1"/>
          <w:wAfter w:w="824" w:type="dxa"/>
          <w:trHeight w:val="12"/>
          <w:tblCellSpacing w:w="6" w:type="dxa"/>
          <w:hidden/>
        </w:trPr>
        <w:tc>
          <w:tcPr>
            <w:tcW w:w="7738" w:type="dxa"/>
          </w:tcPr>
          <w:p w:rsidR="00AC7D70" w:rsidRDefault="00AC7D70">
            <w:pPr>
              <w:jc w:val="center"/>
              <w:rPr>
                <w:vanish/>
                <w:sz w:val="21"/>
                <w:szCs w:val="21"/>
              </w:rPr>
            </w:pPr>
          </w:p>
          <w:tbl>
            <w:tblPr>
              <w:tblW w:w="7656" w:type="dxa"/>
              <w:jc w:val="center"/>
              <w:tblCellSpacing w:w="6" w:type="dxa"/>
              <w:tblCellMar>
                <w:top w:w="108" w:type="dxa"/>
                <w:bottom w:w="108" w:type="dxa"/>
              </w:tblCellMar>
              <w:tblLook w:val="0000" w:firstRow="0" w:lastRow="0" w:firstColumn="0" w:lastColumn="0" w:noHBand="0" w:noVBand="0"/>
            </w:tblPr>
            <w:tblGrid>
              <w:gridCol w:w="7656"/>
            </w:tblGrid>
            <w:tr w:rsidR="00AC7D70">
              <w:trPr>
                <w:trHeight w:val="2664"/>
                <w:tblCellSpacing w:w="6" w:type="dxa"/>
                <w:jc w:val="center"/>
              </w:trPr>
              <w:tc>
                <w:tcPr>
                  <w:tcW w:w="7632" w:type="dxa"/>
                </w:tcPr>
                <w:p w:rsidR="00AC7D70" w:rsidRDefault="00622D94">
                  <w:pPr>
                    <w:pStyle w:val="a5"/>
                    <w:jc w:val="center"/>
                    <w:rPr>
                      <w:i/>
                      <w:iCs/>
                      <w:szCs w:val="21"/>
                    </w:rPr>
                  </w:pPr>
                  <w:r>
                    <w:rPr>
                      <w:i/>
                      <w:iCs/>
                      <w:szCs w:val="21"/>
                    </w:rPr>
                    <w:t>Диагностика Chlamydia trachomatis методом полимеразной цепной реакции</w:t>
                  </w:r>
                </w:p>
                <w:p w:rsidR="00AC7D70" w:rsidRDefault="00622D94">
                  <w:pPr>
                    <w:pStyle w:val="a5"/>
                    <w:spacing w:before="0" w:beforeAutospacing="0" w:after="0" w:afterAutospacing="0"/>
                    <w:ind w:left="60" w:firstLine="384"/>
                    <w:jc w:val="both"/>
                    <w:rPr>
                      <w:sz w:val="21"/>
                      <w:szCs w:val="21"/>
                    </w:rPr>
                  </w:pPr>
                  <w:r>
                    <w:rPr>
                      <w:sz w:val="21"/>
                      <w:szCs w:val="21"/>
                    </w:rPr>
                    <w:t>Дороговизна, длительность и трудоемкость микробиологического выделения хламидий в культуре существенно затрудняет использование этой процедуры в рутинной лабораторной диагностике. В литературе накоплен обширный клинико-лабораторный опыт по использованию метода ПЦР для выявления хламидий трахоматис. Особое внимание при его использовании следует уделять, без сомнения, вопросам правильной интерпретации получаемых результатов. Экстремально высокие показатели чувствительности и специфичности ПЦР делают эту методику во многом революционной в лабораторной диагностике. Основными мишенями при выявлении хламидий трахоматис являются нуклеотидная последовательность видоспецифической криптической плазмиды, последовательность главного белка внутренней мембраны, рибосомальные гены.</w:t>
                  </w:r>
                </w:p>
                <w:p w:rsidR="00AC7D70" w:rsidRDefault="00622D94">
                  <w:pPr>
                    <w:pStyle w:val="a5"/>
                    <w:spacing w:before="0" w:beforeAutospacing="0" w:after="0" w:afterAutospacing="0"/>
                    <w:ind w:left="60" w:firstLine="384"/>
                    <w:jc w:val="both"/>
                    <w:rPr>
                      <w:sz w:val="21"/>
                      <w:szCs w:val="21"/>
                    </w:rPr>
                  </w:pPr>
                  <w:r>
                    <w:rPr>
                      <w:sz w:val="21"/>
                      <w:szCs w:val="21"/>
                    </w:rPr>
                    <w:t>Данная реакция представляет собой многократно повторяющиеся циклы синтеза (амплификацию) специфической области ДНК-мишени в присутствии термостабильной ДНК-полимеразы, дезоксинуклеотидтрифосфатов, соответствующего солевого буфера и олигонуклеотидных затравок-праймеров, определяющих границы амплифицируемого участка. Каждый цикл состоит из трех стадий с различными температурными режимами. На первой стадии при 94 ° С происходит разделение цепей ДНК, затем при 56-58 ° С - присоединение (отжиг) праймеров к комплементарным последовательностям на ДНК-мишени, и при температуре 72 ° С протекает синтез новых цепей ДНК путем достраивания цепей праймеров в направлении 5’ –3’ . В каждом цикле происходит удвоение числа копий амплифицируемого участка, что позволяет за 25-40 циклов наработать фрагмент ДНК, ограниченный парой выбранных праймеров, в количестве, достаточном для ее детекции с помощью электрофореза или альтернативными ему технологиями</w:t>
                  </w:r>
                </w:p>
                <w:p w:rsidR="00AC7D70" w:rsidRDefault="00622D94">
                  <w:pPr>
                    <w:pStyle w:val="a5"/>
                    <w:spacing w:before="144" w:beforeAutospacing="0" w:after="0" w:afterAutospacing="0"/>
                    <w:ind w:left="60" w:firstLine="384"/>
                    <w:jc w:val="both"/>
                    <w:rPr>
                      <w:sz w:val="21"/>
                      <w:szCs w:val="21"/>
                    </w:rPr>
                  </w:pPr>
                  <w:r>
                    <w:rPr>
                      <w:sz w:val="21"/>
                      <w:szCs w:val="21"/>
                    </w:rPr>
                    <w:t>По сравнению с широко применяющимися иммунологическими тестами ПЦР-диагностика обладает рядом преимуществ:</w:t>
                  </w:r>
                </w:p>
                <w:p w:rsidR="00AC7D70" w:rsidRDefault="00622D94">
                  <w:pPr>
                    <w:pStyle w:val="a5"/>
                    <w:spacing w:before="0" w:beforeAutospacing="0" w:after="0" w:afterAutospacing="0"/>
                    <w:ind w:left="60" w:firstLine="384"/>
                    <w:jc w:val="both"/>
                    <w:rPr>
                      <w:sz w:val="21"/>
                      <w:szCs w:val="21"/>
                    </w:rPr>
                  </w:pPr>
                  <w:r>
                    <w:rPr>
                      <w:sz w:val="21"/>
                      <w:szCs w:val="21"/>
                    </w:rPr>
                    <w:t>-высокой и регулируемой специфичностью, обусловленной лишь нуклеотидной последовательностью, применяемой в данной диагностической системе;</w:t>
                  </w:r>
                </w:p>
                <w:p w:rsidR="00AC7D70" w:rsidRDefault="00622D94">
                  <w:pPr>
                    <w:pStyle w:val="a5"/>
                    <w:spacing w:before="0" w:beforeAutospacing="0" w:after="0" w:afterAutospacing="0"/>
                    <w:ind w:left="60" w:firstLine="384"/>
                    <w:jc w:val="both"/>
                    <w:rPr>
                      <w:sz w:val="21"/>
                      <w:szCs w:val="21"/>
                    </w:rPr>
                  </w:pPr>
                  <w:r>
                    <w:rPr>
                      <w:sz w:val="21"/>
                      <w:szCs w:val="21"/>
                    </w:rPr>
                    <w:t>-высокой чувствительностью, позволяющей диагносцировать не только острые, но и латентные инфекции (возможно выявление даже единичных бактерий или вирусов);</w:t>
                  </w:r>
                </w:p>
                <w:p w:rsidR="00AC7D70" w:rsidRDefault="00622D94">
                  <w:pPr>
                    <w:pStyle w:val="a5"/>
                    <w:spacing w:before="0" w:beforeAutospacing="0" w:after="0" w:afterAutospacing="0"/>
                    <w:ind w:left="60" w:firstLine="384"/>
                    <w:jc w:val="both"/>
                    <w:rPr>
                      <w:sz w:val="21"/>
                      <w:szCs w:val="21"/>
                    </w:rPr>
                  </w:pPr>
                  <w:r>
                    <w:rPr>
                      <w:sz w:val="21"/>
                      <w:szCs w:val="21"/>
                    </w:rPr>
                    <w:t>-химическое сходство всех нуклеиновых кислот позволяет разрабатывать универсальные процедуры для выявления различных инфекционных агентов,</w:t>
                  </w:r>
                </w:p>
                <w:p w:rsidR="00AC7D70" w:rsidRDefault="00622D94">
                  <w:pPr>
                    <w:pStyle w:val="a5"/>
                    <w:spacing w:before="0" w:beforeAutospacing="0" w:after="0" w:afterAutospacing="0"/>
                    <w:ind w:left="60" w:firstLine="384"/>
                    <w:jc w:val="both"/>
                    <w:rPr>
                      <w:sz w:val="21"/>
                      <w:szCs w:val="21"/>
                    </w:rPr>
                  </w:pPr>
                  <w:r>
                    <w:rPr>
                      <w:sz w:val="21"/>
                      <w:szCs w:val="21"/>
                    </w:rPr>
                    <w:t>-возможностью идентификации возбудителя в течении 4,5-5 часов.</w:t>
                  </w:r>
                </w:p>
                <w:p w:rsidR="00AC7D70" w:rsidRDefault="00622D94">
                  <w:pPr>
                    <w:pStyle w:val="a5"/>
                    <w:spacing w:before="0" w:beforeAutospacing="0" w:after="0" w:afterAutospacing="0"/>
                    <w:ind w:left="60" w:firstLine="384"/>
                    <w:jc w:val="both"/>
                    <w:rPr>
                      <w:sz w:val="21"/>
                      <w:szCs w:val="21"/>
                    </w:rPr>
                  </w:pPr>
                  <w:r>
                    <w:rPr>
                      <w:sz w:val="21"/>
                      <w:szCs w:val="21"/>
                    </w:rPr>
                    <w:t> </w:t>
                  </w:r>
                </w:p>
                <w:p w:rsidR="00AC7D70" w:rsidRDefault="00622D94">
                  <w:pPr>
                    <w:pStyle w:val="a5"/>
                    <w:spacing w:before="0" w:beforeAutospacing="0" w:after="0" w:afterAutospacing="0"/>
                    <w:ind w:left="60" w:firstLine="384"/>
                    <w:jc w:val="both"/>
                    <w:rPr>
                      <w:sz w:val="21"/>
                      <w:szCs w:val="21"/>
                    </w:rPr>
                  </w:pPr>
                  <w:r>
                    <w:rPr>
                      <w:sz w:val="21"/>
                      <w:szCs w:val="21"/>
                    </w:rPr>
                    <w:t>Доставка биоматериала в ПЦР-лабораторию производится в холодовом термоконтейнере или термосе со льдом. Важной отличительной особенностью ПЦР-диагностики является относительно низкая стоимость оборудования для проведения анализа, сочетающаяся с универсальностью метода, что позволяет выявлять весь спектр клинически актуальных инфекционных агентов.</w:t>
                  </w:r>
                </w:p>
                <w:p w:rsidR="00AC7D70" w:rsidRDefault="00622D94">
                  <w:pPr>
                    <w:pStyle w:val="a5"/>
                    <w:spacing w:before="0" w:beforeAutospacing="0" w:after="0" w:afterAutospacing="0"/>
                    <w:ind w:left="60" w:firstLine="384"/>
                    <w:jc w:val="both"/>
                    <w:rPr>
                      <w:sz w:val="21"/>
                      <w:szCs w:val="21"/>
                    </w:rPr>
                  </w:pPr>
                  <w:r>
                    <w:rPr>
                      <w:sz w:val="21"/>
                      <w:szCs w:val="21"/>
                    </w:rPr>
                    <w:t> </w:t>
                  </w:r>
                </w:p>
                <w:p w:rsidR="00AC7D70" w:rsidRDefault="00622D94">
                  <w:pPr>
                    <w:pStyle w:val="a5"/>
                    <w:spacing w:before="0" w:beforeAutospacing="0" w:after="0" w:afterAutospacing="0"/>
                    <w:ind w:left="60" w:firstLine="384"/>
                    <w:jc w:val="both"/>
                    <w:rPr>
                      <w:sz w:val="21"/>
                      <w:szCs w:val="21"/>
                    </w:rPr>
                  </w:pPr>
                  <w:r>
                    <w:rPr>
                      <w:sz w:val="21"/>
                      <w:szCs w:val="21"/>
                    </w:rPr>
                    <w:t>ПЦР-лаборатория должна быть разделена на зоны (комнаты). Следует иметь не менее двух комнат</w:t>
                  </w:r>
                </w:p>
                <w:p w:rsidR="00AC7D70" w:rsidRDefault="00622D94">
                  <w:pPr>
                    <w:pStyle w:val="a5"/>
                    <w:spacing w:before="0" w:beforeAutospacing="0" w:after="0" w:afterAutospacing="0"/>
                    <w:ind w:left="60" w:firstLine="384"/>
                    <w:jc w:val="both"/>
                    <w:rPr>
                      <w:sz w:val="21"/>
                      <w:szCs w:val="21"/>
                    </w:rPr>
                  </w:pPr>
                  <w:r>
                    <w:rPr>
                      <w:sz w:val="21"/>
                      <w:szCs w:val="21"/>
                    </w:rPr>
                    <w:t>-пре-ПЦР-помещение, где проводится обработка клинических образцов, выделение ДНК, приготовление реакционной смеси для ПЦР и постановка ПЦР (при наличии условий два последних этапа рекомендуется также проводить в дополнительном отдельном помещении), в этих помещениях запрещается проводить все другие виды работ с инфекционными агентами (микробиологический анализ, ИФА, другие диагностические тесты), ПЦР-диагностика которых проводится в данной лаборатории.</w:t>
                  </w:r>
                </w:p>
                <w:p w:rsidR="00AC7D70" w:rsidRDefault="00622D94">
                  <w:pPr>
                    <w:pStyle w:val="a5"/>
                    <w:spacing w:before="0" w:beforeAutospacing="0" w:after="144" w:afterAutospacing="0"/>
                    <w:ind w:left="60" w:firstLine="384"/>
                    <w:jc w:val="both"/>
                    <w:rPr>
                      <w:sz w:val="21"/>
                      <w:szCs w:val="21"/>
                    </w:rPr>
                  </w:pPr>
                  <w:r>
                    <w:rPr>
                      <w:sz w:val="21"/>
                      <w:szCs w:val="21"/>
                    </w:rPr>
                    <w:t>-пост-ПЦР-помещение, где проводится детекция продуктов амплификации, в ПЦР-помещении допускается использовать другие методы детекции инфекций, диагностика которых проводится в данной лаборатории. Комнату детекции продуктов амплификации (пост-ПЦР-помещение) следует располагать как можно дальше от пре-ПЦР-помещений. Следует исключить движение воздушного потока из пост-ПЦР-помещения в пре-ПЦР-помещение.</w:t>
                  </w:r>
                </w:p>
                <w:p w:rsidR="00AC7D70" w:rsidRDefault="00622D94">
                  <w:pPr>
                    <w:pStyle w:val="a5"/>
                    <w:spacing w:before="0" w:beforeAutospacing="0" w:after="0" w:afterAutospacing="0"/>
                    <w:ind w:left="60" w:firstLine="384"/>
                    <w:jc w:val="both"/>
                    <w:rPr>
                      <w:sz w:val="21"/>
                      <w:szCs w:val="21"/>
                    </w:rPr>
                  </w:pPr>
                  <w:r>
                    <w:rPr>
                      <w:sz w:val="21"/>
                      <w:szCs w:val="21"/>
                    </w:rPr>
                    <w:t>В комнате приготовления реакционной смеси и в комнате обработки клинических образцов должны быть установлены ультрафиолетовые лампы, рабочие поверхности в лаборатории должны обрабатываться дезинфицирующими растворами .</w:t>
                  </w:r>
                </w:p>
                <w:p w:rsidR="00AC7D70" w:rsidRDefault="00622D94">
                  <w:pPr>
                    <w:pStyle w:val="a5"/>
                    <w:spacing w:before="216" w:beforeAutospacing="0" w:after="144" w:afterAutospacing="0"/>
                    <w:ind w:left="60"/>
                    <w:jc w:val="both"/>
                    <w:rPr>
                      <w:sz w:val="21"/>
                      <w:szCs w:val="21"/>
                    </w:rPr>
                  </w:pPr>
                  <w:r>
                    <w:rPr>
                      <w:sz w:val="21"/>
                      <w:szCs w:val="21"/>
                    </w:rPr>
                    <w:t>Показания для диагностики С. trachomatis методом ПЦР</w:t>
                  </w:r>
                </w:p>
                <w:p w:rsidR="00AC7D70" w:rsidRDefault="00622D94">
                  <w:pPr>
                    <w:pStyle w:val="a5"/>
                    <w:spacing w:before="0" w:beforeAutospacing="0" w:after="0" w:afterAutospacing="0"/>
                    <w:ind w:left="60" w:firstLine="384"/>
                    <w:jc w:val="both"/>
                    <w:rPr>
                      <w:sz w:val="21"/>
                      <w:szCs w:val="21"/>
                    </w:rPr>
                  </w:pPr>
                  <w:r>
                    <w:rPr>
                      <w:sz w:val="21"/>
                      <w:szCs w:val="21"/>
                    </w:rPr>
                    <w:t>1. Острая фаза заболевания</w:t>
                  </w:r>
                </w:p>
                <w:p w:rsidR="00AC7D70" w:rsidRDefault="00622D94">
                  <w:pPr>
                    <w:pStyle w:val="a5"/>
                    <w:spacing w:before="0" w:beforeAutospacing="0" w:after="0" w:afterAutospacing="0"/>
                    <w:ind w:left="60" w:firstLine="384"/>
                    <w:jc w:val="both"/>
                    <w:rPr>
                      <w:sz w:val="21"/>
                      <w:szCs w:val="21"/>
                    </w:rPr>
                  </w:pPr>
                  <w:r>
                    <w:rPr>
                      <w:sz w:val="21"/>
                      <w:szCs w:val="21"/>
                    </w:rPr>
                    <w:t>2. Хроническая фаза заболевания</w:t>
                  </w:r>
                </w:p>
                <w:p w:rsidR="00AC7D70" w:rsidRDefault="00622D94">
                  <w:pPr>
                    <w:pStyle w:val="a5"/>
                    <w:spacing w:before="0" w:beforeAutospacing="0" w:after="0" w:afterAutospacing="0"/>
                    <w:ind w:left="60" w:firstLine="384"/>
                    <w:jc w:val="both"/>
                    <w:rPr>
                      <w:sz w:val="21"/>
                      <w:szCs w:val="21"/>
                    </w:rPr>
                  </w:pPr>
                  <w:r>
                    <w:rPr>
                      <w:sz w:val="21"/>
                      <w:szCs w:val="21"/>
                    </w:rPr>
                    <w:t>3. Установление этиологии хронического инфекционного процесса урогенитального тракта.</w:t>
                  </w:r>
                </w:p>
                <w:p w:rsidR="00AC7D70" w:rsidRDefault="00622D94">
                  <w:pPr>
                    <w:pStyle w:val="a5"/>
                    <w:spacing w:before="0" w:beforeAutospacing="0" w:after="0" w:afterAutospacing="0"/>
                    <w:ind w:left="60" w:firstLine="384"/>
                    <w:jc w:val="both"/>
                    <w:rPr>
                      <w:sz w:val="21"/>
                      <w:szCs w:val="21"/>
                    </w:rPr>
                  </w:pPr>
                  <w:r>
                    <w:rPr>
                      <w:sz w:val="21"/>
                      <w:szCs w:val="21"/>
                    </w:rPr>
                    <w:t>4. Беременность с отягощенным акушерским анамнезом. 5 Бесплодие неясного генеза.</w:t>
                  </w:r>
                </w:p>
                <w:p w:rsidR="00AC7D70" w:rsidRDefault="00622D94">
                  <w:pPr>
                    <w:pStyle w:val="a5"/>
                    <w:spacing w:before="0" w:beforeAutospacing="0" w:after="0" w:afterAutospacing="0"/>
                    <w:ind w:left="60" w:firstLine="384"/>
                    <w:jc w:val="both"/>
                    <w:rPr>
                      <w:sz w:val="21"/>
                      <w:szCs w:val="21"/>
                    </w:rPr>
                  </w:pPr>
                  <w:r>
                    <w:rPr>
                      <w:sz w:val="21"/>
                      <w:szCs w:val="21"/>
                    </w:rPr>
                    <w:t>6. Контроль эффективности проведенного антибактериального лечения.</w:t>
                  </w:r>
                </w:p>
                <w:p w:rsidR="00AC7D70" w:rsidRDefault="00622D94">
                  <w:pPr>
                    <w:pStyle w:val="a5"/>
                    <w:spacing w:before="0" w:beforeAutospacing="0" w:after="0" w:afterAutospacing="0"/>
                    <w:ind w:left="60" w:firstLine="384"/>
                    <w:jc w:val="both"/>
                    <w:rPr>
                      <w:sz w:val="21"/>
                      <w:szCs w:val="21"/>
                    </w:rPr>
                  </w:pPr>
                  <w:r>
                    <w:rPr>
                      <w:sz w:val="21"/>
                      <w:szCs w:val="21"/>
                    </w:rPr>
                    <w:t>В случае выявления фрагмента ДНК хламидии трахоматис после курса химиотерапии следует провести культуральную диагностику для исключения “ложноположительного с клинической точки зрения результата”. Если проведение культуральной диагностики невозможно, то необходимо через 5-6 недель (полное обновление эпителиального покрова мочеполовых путей) провести повторное исследование методом ПЦР.</w:t>
                  </w:r>
                </w:p>
                <w:p w:rsidR="00AC7D70" w:rsidRDefault="00622D94">
                  <w:pPr>
                    <w:pStyle w:val="a5"/>
                    <w:spacing w:before="0" w:beforeAutospacing="0" w:after="144" w:afterAutospacing="0"/>
                    <w:ind w:left="60" w:firstLine="384"/>
                    <w:jc w:val="both"/>
                    <w:rPr>
                      <w:sz w:val="21"/>
                      <w:szCs w:val="21"/>
                    </w:rPr>
                  </w:pPr>
                  <w:r>
                    <w:rPr>
                      <w:sz w:val="21"/>
                      <w:szCs w:val="21"/>
                    </w:rPr>
                    <w:t>7. Выявление хламидии у ВИЧ-инфицированных лиц, больных туберкулезом, вирусным гепатитом и со вторичными иммунодефицитными состояними (онкологические больные после курсов химио- и лучевой терапии, трансплантации костного мозга, получающие иммуносупрессивную терапию).</w:t>
                  </w:r>
                </w:p>
                <w:p w:rsidR="00AC7D70" w:rsidRDefault="00622D94">
                  <w:pPr>
                    <w:pStyle w:val="a5"/>
                    <w:spacing w:before="0" w:beforeAutospacing="0" w:after="0" w:afterAutospacing="0"/>
                    <w:ind w:left="60" w:firstLine="384"/>
                    <w:jc w:val="both"/>
                    <w:rPr>
                      <w:sz w:val="21"/>
                      <w:szCs w:val="21"/>
                    </w:rPr>
                  </w:pPr>
                  <w:r>
                    <w:rPr>
                      <w:sz w:val="21"/>
                      <w:szCs w:val="21"/>
                    </w:rPr>
                    <w:t xml:space="preserve">В 1991 году компания Хоффман-ла Рош ЛТД получила от компании Cetus права и патенты на использование ПЦР. В этом же году была создан Roche Molecular Systems, занимающийся исключительно вопросами развития и совершенствования ПЦР. В 1992 году были внедрены первые стандартизованные тест-системы для клинической ПЦР-диагностики AMPLICOR Chlamydia trachomatis, а в 1993 году начато производство этих тест систем. Многочисленные проведенные исследования показали высокую чувствительность и специфичность данного набора. Это позволило получить данной тест-системе сертификат Food and Drug Administration (FDA) в 1993 году. В 1995 году появился новый набор AMPLICOR </w:t>
                  </w:r>
                  <w:r>
                    <w:rPr>
                      <w:i/>
                      <w:iCs/>
                      <w:sz w:val="21"/>
                      <w:szCs w:val="21"/>
                    </w:rPr>
                    <w:t>Chlamydia trachomatis/Neisseria gonorrhoeae</w:t>
                  </w:r>
                  <w:r>
                    <w:rPr>
                      <w:sz w:val="21"/>
                      <w:szCs w:val="21"/>
                    </w:rPr>
                    <w:t xml:space="preserve"> для одновременной их детекции в одной пробирке. В тесте использованы биотинилированные праймеры (СР24/СР27) из криптической плазмиды С. trachomatis. Чувствительность теста составляет 10 копий/мл, специфичность 99,6%. Тест-система включает: набор для сбора и транспортировки образцов, набор для выделения ДНК из цервикальных, уретральных образцов и мочи, набор для амплификации и детекции. Все наборы стандартизованы, полностью готовы к использованию, имеют внутренний контроль, систему защиты от контаминации.</w:t>
                  </w:r>
                </w:p>
                <w:p w:rsidR="00AC7D70" w:rsidRDefault="00622D94">
                  <w:pPr>
                    <w:pStyle w:val="a5"/>
                    <w:spacing w:before="0" w:beforeAutospacing="0" w:after="0" w:afterAutospacing="0"/>
                    <w:ind w:left="60" w:firstLine="384"/>
                    <w:jc w:val="both"/>
                    <w:rPr>
                      <w:sz w:val="21"/>
                      <w:szCs w:val="21"/>
                    </w:rPr>
                  </w:pPr>
                  <w:r>
                    <w:rPr>
                      <w:sz w:val="21"/>
                      <w:szCs w:val="21"/>
                    </w:rPr>
                    <w:t xml:space="preserve">Научно-производственной фирмой "Литех" при НИИ физико-химической медицины МЗ РФ выпускается набор реагентов "Полимик" в виде трех отдельных наборов для определения соответственно </w:t>
                  </w:r>
                  <w:r>
                    <w:rPr>
                      <w:i/>
                      <w:iCs/>
                      <w:sz w:val="21"/>
                      <w:szCs w:val="21"/>
                    </w:rPr>
                    <w:t>Chlamydia trachomatis, Mycoplasma hominis, Ureaplasma urealiticum.</w:t>
                  </w:r>
                  <w:r>
                    <w:rPr>
                      <w:sz w:val="21"/>
                      <w:szCs w:val="21"/>
                    </w:rPr>
                    <w:t xml:space="preserve"> Каждый набор “Полимик” комплектуется отдельным набором для выделения ДНК из биопроб. Инструкция по применению набора реагентов рекомендована к утверждению экспертной комиссией Комитета по новой медицинской технике МЗ РФ (протокол No 3 от 18.03.96 г.) и утверждена Министерством здравоохранения РФ 17.05.96 г. (ТУ 9398-405-17253567-96).</w:t>
                  </w:r>
                </w:p>
                <w:p w:rsidR="00AC7D70" w:rsidRDefault="00622D94">
                  <w:pPr>
                    <w:pStyle w:val="a5"/>
                    <w:spacing w:before="0" w:beforeAutospacing="0" w:after="0" w:afterAutospacing="0"/>
                    <w:ind w:left="60" w:firstLine="384"/>
                    <w:jc w:val="both"/>
                    <w:rPr>
                      <w:sz w:val="21"/>
                      <w:szCs w:val="21"/>
                    </w:rPr>
                  </w:pPr>
                  <w:r>
                    <w:rPr>
                      <w:sz w:val="21"/>
                      <w:szCs w:val="21"/>
                    </w:rPr>
                    <w:t>В состав реакционной смеси набора “Полимик” входит внутренний контроль (рекомбинантная плазмида, содержащая фрагмент-вставку размером 308 н.п.). Этот компонент позволяет контролировать процесс прохождения реакции амплификации, а также тестировать наличие в пробах веществ, ингибирующих ПЦР. Полоса, соответствующая внутреннему контролю, должна проявляться как в положительном и в отрицательном контролях, так и во всех тестируемых пробах.</w:t>
                  </w:r>
                </w:p>
                <w:p w:rsidR="00AC7D70" w:rsidRDefault="00622D94">
                  <w:pPr>
                    <w:pStyle w:val="a5"/>
                    <w:spacing w:before="0" w:beforeAutospacing="0" w:after="0" w:afterAutospacing="0"/>
                    <w:ind w:left="60" w:firstLine="384"/>
                    <w:jc w:val="both"/>
                    <w:rPr>
                      <w:sz w:val="21"/>
                      <w:szCs w:val="21"/>
                    </w:rPr>
                  </w:pPr>
                  <w:r>
                    <w:rPr>
                      <w:sz w:val="21"/>
                      <w:szCs w:val="21"/>
                    </w:rPr>
                    <w:t xml:space="preserve">При выделении ДНК из биопробы (“Набор для выделения ДНК”) используется метод экстракции ДНК из клеток хламидий с помощью гуанидина тиоцианата и связывания высвобождающихся нуклеиновых кислот с частицами крупнопористого стекла. Это позволяет оптимизировать условия выделения и подготовки проб для амплификации, а также уменьшить количество манипуляций с образцом. При этом все манипуляции проводятся в одной пробирке. Выход хромосомной ДНК составляет 70-80% по результатам определения числа колониеобразующих единиц клеток </w:t>
                  </w:r>
                  <w:r>
                    <w:rPr>
                      <w:i/>
                      <w:iCs/>
                      <w:sz w:val="21"/>
                      <w:szCs w:val="21"/>
                    </w:rPr>
                    <w:t>Acholeplasma laidlawii</w:t>
                  </w:r>
                  <w:r>
                    <w:rPr>
                      <w:sz w:val="21"/>
                      <w:szCs w:val="21"/>
                    </w:rPr>
                    <w:t xml:space="preserve"> (штамм микоплазм, взятый в качестве стандарта) как в случае чистой культуры, так и при добавлении этих клеток к клиническому материалу, не содержащему определяемых инфекционных агентов.</w:t>
                  </w:r>
                </w:p>
                <w:p w:rsidR="00AC7D70" w:rsidRDefault="00622D94">
                  <w:pPr>
                    <w:pStyle w:val="a5"/>
                    <w:spacing w:before="0" w:beforeAutospacing="0" w:after="0" w:afterAutospacing="0"/>
                    <w:ind w:left="60" w:firstLine="384"/>
                    <w:jc w:val="both"/>
                    <w:rPr>
                      <w:sz w:val="21"/>
                      <w:szCs w:val="21"/>
                    </w:rPr>
                  </w:pPr>
                  <w:r>
                    <w:rPr>
                      <w:sz w:val="21"/>
                      <w:szCs w:val="21"/>
                    </w:rPr>
                    <w:t>После завершения ПЦР продукты амплификации фракционируют методом электрофореза в 1,5% агарозном геле.</w:t>
                  </w:r>
                </w:p>
                <w:p w:rsidR="00AC7D70" w:rsidRDefault="00622D94">
                  <w:pPr>
                    <w:pStyle w:val="a5"/>
                    <w:spacing w:before="144" w:beforeAutospacing="0" w:after="144" w:afterAutospacing="0"/>
                    <w:ind w:left="60"/>
                    <w:jc w:val="both"/>
                    <w:rPr>
                      <w:sz w:val="21"/>
                      <w:szCs w:val="21"/>
                    </w:rPr>
                  </w:pPr>
                  <w:r>
                    <w:rPr>
                      <w:sz w:val="21"/>
                      <w:szCs w:val="21"/>
                    </w:rPr>
                    <w:t>Анализ результатов диагностики</w:t>
                  </w:r>
                </w:p>
                <w:p w:rsidR="00AC7D70" w:rsidRDefault="00622D94">
                  <w:pPr>
                    <w:pStyle w:val="a5"/>
                    <w:spacing w:before="0" w:beforeAutospacing="0" w:after="0" w:afterAutospacing="0"/>
                    <w:ind w:left="60" w:firstLine="384"/>
                    <w:jc w:val="both"/>
                    <w:rPr>
                      <w:sz w:val="21"/>
                      <w:szCs w:val="21"/>
                    </w:rPr>
                  </w:pPr>
                  <w:r>
                    <w:rPr>
                      <w:sz w:val="21"/>
                      <w:szCs w:val="21"/>
                    </w:rPr>
                    <w:t>1. В положительном контрольном образце для хламидий выявляется полоса размером 501 н.п.</w:t>
                  </w:r>
                </w:p>
                <w:p w:rsidR="00AC7D70" w:rsidRDefault="00622D94">
                  <w:pPr>
                    <w:pStyle w:val="a5"/>
                    <w:spacing w:before="0" w:beforeAutospacing="0" w:after="0" w:afterAutospacing="0"/>
                    <w:ind w:left="60" w:firstLine="384"/>
                    <w:jc w:val="both"/>
                    <w:rPr>
                      <w:sz w:val="21"/>
                      <w:szCs w:val="21"/>
                    </w:rPr>
                  </w:pPr>
                  <w:r>
                    <w:rPr>
                      <w:sz w:val="21"/>
                      <w:szCs w:val="21"/>
                    </w:rPr>
                    <w:t>2. В отрицательном контрольном образце полоса, соответствующая фрагментам генома хламидий, должна отсутствовать. Появление полосы в отрицательном контроле свидетельствует о контаминации компонентов набора.</w:t>
                  </w:r>
                </w:p>
                <w:p w:rsidR="00AC7D70" w:rsidRDefault="00622D94">
                  <w:pPr>
                    <w:pStyle w:val="a5"/>
                    <w:spacing w:before="0" w:beforeAutospacing="0" w:after="0" w:afterAutospacing="0"/>
                    <w:ind w:left="60" w:firstLine="384"/>
                    <w:jc w:val="both"/>
                    <w:rPr>
                      <w:sz w:val="21"/>
                      <w:szCs w:val="21"/>
                    </w:rPr>
                  </w:pPr>
                  <w:r>
                    <w:rPr>
                      <w:sz w:val="21"/>
                      <w:szCs w:val="21"/>
                    </w:rPr>
                    <w:t>3. В анализируемой пробе отсутствие полосы строго на уровне соответствующего контроля свидетельствует об отсутствии возбудителя в пробе, наличие полосы, соответствующей по электрофоретической подвижности положительному контролю, свидетельствует о наличии хламидий в клинической пробе.</w:t>
                  </w:r>
                </w:p>
                <w:p w:rsidR="00AC7D70" w:rsidRDefault="00622D94">
                  <w:pPr>
                    <w:pStyle w:val="a5"/>
                    <w:spacing w:before="0" w:beforeAutospacing="0" w:after="0" w:afterAutospacing="0"/>
                    <w:ind w:left="60" w:firstLine="384"/>
                    <w:jc w:val="both"/>
                    <w:rPr>
                      <w:sz w:val="21"/>
                      <w:szCs w:val="21"/>
                    </w:rPr>
                  </w:pPr>
                  <w:r>
                    <w:rPr>
                      <w:sz w:val="21"/>
                      <w:szCs w:val="21"/>
                    </w:rPr>
                    <w:t>4. Во всех образцах выявляется полоса оранжево-красного цвета, соответствующая внутреннему контролю размером 308 н.п. Полученные результаты можно документировать фотографированием гелей с использованием оранжевого или интерференционного (594 нм) светофильтра. При использовании видеосистемы "Gel-doc" возможно документирование результатов электрофореза в виде компьютерного файла, доступного любым приложениям “Windows”.</w:t>
                  </w:r>
                </w:p>
                <w:p w:rsidR="00AC7D70" w:rsidRDefault="00622D94">
                  <w:pPr>
                    <w:pStyle w:val="a5"/>
                    <w:spacing w:before="0" w:beforeAutospacing="0" w:after="0" w:afterAutospacing="0"/>
                    <w:ind w:left="60" w:firstLine="384"/>
                    <w:jc w:val="both"/>
                    <w:rPr>
                      <w:sz w:val="21"/>
                      <w:szCs w:val="21"/>
                    </w:rPr>
                  </w:pPr>
                  <w:r>
                    <w:rPr>
                      <w:sz w:val="21"/>
                      <w:szCs w:val="21"/>
                    </w:rPr>
                    <w:t>Набор “Полимик” следует хранить при температуре - 18-20 ° С в течение всего срока годности (6 месяцев). Допускается, хранение и транспортировка набора при температуре не выше 0 ° градусов не более одних суток.</w:t>
                  </w:r>
                </w:p>
                <w:p w:rsidR="00AC7D70" w:rsidRDefault="00622D94">
                  <w:pPr>
                    <w:pStyle w:val="a5"/>
                    <w:spacing w:before="0" w:beforeAutospacing="0" w:after="0" w:afterAutospacing="0"/>
                    <w:ind w:left="60" w:firstLine="384"/>
                    <w:jc w:val="both"/>
                    <w:rPr>
                      <w:sz w:val="21"/>
                      <w:szCs w:val="21"/>
                    </w:rPr>
                  </w:pPr>
                  <w:r>
                    <w:rPr>
                      <w:sz w:val="21"/>
                      <w:szCs w:val="21"/>
                    </w:rPr>
                    <w:t>По состоянию на третий квартал 1999 г. Минздравом России помимо набора “Полимик” разрешены следующие диагностические наборы для обнаружения хламидий трахоматис методом ПЦР в качестве изделий медицинского назначения:</w:t>
                  </w:r>
                </w:p>
                <w:p w:rsidR="00AC7D70" w:rsidRDefault="00622D94">
                  <w:pPr>
                    <w:pStyle w:val="a5"/>
                    <w:spacing w:before="0" w:beforeAutospacing="0" w:after="0" w:afterAutospacing="0"/>
                    <w:ind w:left="60" w:firstLine="384"/>
                    <w:jc w:val="both"/>
                    <w:rPr>
                      <w:sz w:val="21"/>
                      <w:szCs w:val="21"/>
                    </w:rPr>
                  </w:pPr>
                  <w:r>
                    <w:rPr>
                      <w:sz w:val="21"/>
                      <w:szCs w:val="21"/>
                    </w:rPr>
                    <w:t>набор реагентов амплификационный для определения ДНК хламидий (Хламидия-Ампли-тест) ТУ 9398-402-18137053-96 производства АО “ВНЦМДЛ”, Москва;</w:t>
                  </w:r>
                </w:p>
                <w:p w:rsidR="00AC7D70" w:rsidRDefault="00622D94">
                  <w:pPr>
                    <w:pStyle w:val="a5"/>
                    <w:spacing w:before="0" w:beforeAutospacing="0" w:after="0" w:afterAutospacing="0"/>
                    <w:ind w:left="60" w:firstLine="384"/>
                    <w:jc w:val="both"/>
                    <w:rPr>
                      <w:sz w:val="21"/>
                      <w:szCs w:val="21"/>
                    </w:rPr>
                  </w:pPr>
                  <w:r>
                    <w:rPr>
                      <w:sz w:val="21"/>
                      <w:szCs w:val="21"/>
                    </w:rPr>
                    <w:t>набор реактивов для выявления нуклеотидных последовательностей хламидия трахоматис методом ПЦР (Хлам Ам) ТУ “9398-403-29032954-96 производства ЗАО “Внедрение систем в медицину”. Москва,</w:t>
                  </w:r>
                </w:p>
                <w:p w:rsidR="00AC7D70" w:rsidRDefault="00622D94">
                  <w:pPr>
                    <w:pStyle w:val="a5"/>
                    <w:spacing w:before="0" w:beforeAutospacing="0" w:after="0" w:afterAutospacing="0"/>
                    <w:ind w:left="60" w:firstLine="384"/>
                    <w:jc w:val="both"/>
                    <w:rPr>
                      <w:sz w:val="21"/>
                      <w:szCs w:val="21"/>
                    </w:rPr>
                  </w:pPr>
                  <w:r>
                    <w:rPr>
                      <w:sz w:val="21"/>
                      <w:szCs w:val="21"/>
                    </w:rPr>
                    <w:t>набор реагентов для выявления ДНК хламидий трахоматис методом ПЦР (Хлам-Ген) ТУ 9398-412-46482062-97 производства НПФ “ДНК-технология”, Москва.</w:t>
                  </w:r>
                </w:p>
              </w:tc>
            </w:tr>
          </w:tbl>
          <w:p w:rsidR="00AC7D70" w:rsidRDefault="00AC7D70">
            <w:pPr>
              <w:spacing w:line="12" w:lineRule="atLeast"/>
              <w:jc w:val="center"/>
              <w:rPr>
                <w:sz w:val="21"/>
                <w:szCs w:val="21"/>
              </w:rPr>
            </w:pPr>
          </w:p>
        </w:tc>
      </w:tr>
      <w:tr w:rsidR="00AC7D70">
        <w:trPr>
          <w:trHeight w:val="12"/>
          <w:tblCellSpacing w:w="6" w:type="dxa"/>
          <w:hidden/>
        </w:trPr>
        <w:tc>
          <w:tcPr>
            <w:tcW w:w="8574" w:type="dxa"/>
            <w:gridSpan w:val="2"/>
          </w:tcPr>
          <w:p w:rsidR="00AC7D70" w:rsidRDefault="00AC7D70">
            <w:pPr>
              <w:jc w:val="both"/>
              <w:rPr>
                <w:vanish/>
                <w:sz w:val="19"/>
                <w:szCs w:val="19"/>
              </w:rPr>
            </w:pPr>
          </w:p>
          <w:tbl>
            <w:tblPr>
              <w:tblW w:w="8498" w:type="dxa"/>
              <w:jc w:val="center"/>
              <w:tblCellSpacing w:w="6" w:type="dxa"/>
              <w:tblCellMar>
                <w:top w:w="108" w:type="dxa"/>
                <w:bottom w:w="108" w:type="dxa"/>
              </w:tblCellMar>
              <w:tblLook w:val="0000" w:firstRow="0" w:lastRow="0" w:firstColumn="0" w:lastColumn="0" w:noHBand="0" w:noVBand="0"/>
            </w:tblPr>
            <w:tblGrid>
              <w:gridCol w:w="8498"/>
            </w:tblGrid>
            <w:tr w:rsidR="00AC7D70">
              <w:trPr>
                <w:trHeight w:val="2664"/>
                <w:tblCellSpacing w:w="6" w:type="dxa"/>
                <w:jc w:val="center"/>
              </w:trPr>
              <w:tc>
                <w:tcPr>
                  <w:tcW w:w="8474" w:type="dxa"/>
                </w:tcPr>
                <w:p w:rsidR="00AC7D70" w:rsidRDefault="00622D94">
                  <w:pPr>
                    <w:pStyle w:val="a5"/>
                    <w:spacing w:before="0" w:beforeAutospacing="0" w:after="0" w:afterAutospacing="0"/>
                    <w:jc w:val="center"/>
                    <w:rPr>
                      <w:i/>
                      <w:iCs/>
                      <w:szCs w:val="21"/>
                    </w:rPr>
                  </w:pPr>
                  <w:r>
                    <w:rPr>
                      <w:i/>
                      <w:iCs/>
                      <w:szCs w:val="21"/>
                    </w:rPr>
                    <w:t>Достоинства и недостатки различных методов обнаружения Chlamydia trachomatis</w:t>
                  </w:r>
                </w:p>
                <w:p w:rsidR="00AC7D70" w:rsidRDefault="00622D94">
                  <w:pPr>
                    <w:pStyle w:val="a5"/>
                    <w:spacing w:before="72" w:beforeAutospacing="0" w:after="0" w:afterAutospacing="0"/>
                    <w:ind w:left="60"/>
                    <w:jc w:val="center"/>
                    <w:rPr>
                      <w:sz w:val="20"/>
                      <w:szCs w:val="19"/>
                    </w:rPr>
                  </w:pPr>
                  <w:r>
                    <w:rPr>
                      <w:sz w:val="20"/>
                      <w:szCs w:val="19"/>
                    </w:rPr>
                    <w:t>(Taylor-Robinson О., Thomas B.J ,1991, с дополнениями Говорун В.М, Бочкарев Е.Г., Парфенова Т.М., 1999)</w:t>
                  </w:r>
                </w:p>
                <w:p w:rsidR="00AC7D70" w:rsidRDefault="00622D94">
                  <w:pPr>
                    <w:pStyle w:val="a5"/>
                    <w:spacing w:before="0" w:beforeAutospacing="0" w:after="0" w:afterAutospacing="0"/>
                    <w:ind w:left="60" w:firstLine="384"/>
                    <w:jc w:val="both"/>
                    <w:rPr>
                      <w:sz w:val="20"/>
                      <w:szCs w:val="19"/>
                    </w:rPr>
                  </w:pPr>
                  <w:r>
                    <w:rPr>
                      <w:sz w:val="20"/>
                      <w:szCs w:val="19"/>
                    </w:rPr>
                    <w:t> </w:t>
                  </w:r>
                </w:p>
                <w:tbl>
                  <w:tblPr>
                    <w:tblW w:w="7368" w:type="dxa"/>
                    <w:tblCellSpacing w:w="6"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000" w:firstRow="0" w:lastRow="0" w:firstColumn="0" w:lastColumn="0" w:noHBand="0" w:noVBand="0"/>
                  </w:tblPr>
                  <w:tblGrid>
                    <w:gridCol w:w="1569"/>
                    <w:gridCol w:w="1632"/>
                    <w:gridCol w:w="1650"/>
                    <w:gridCol w:w="1612"/>
                    <w:gridCol w:w="1749"/>
                  </w:tblGrid>
                  <w:tr w:rsidR="00AC7D70">
                    <w:trPr>
                      <w:trHeight w:val="168"/>
                      <w:tblCellSpacing w:w="6" w:type="dxa"/>
                    </w:trPr>
                    <w:tc>
                      <w:tcPr>
                        <w:tcW w:w="1404" w:type="dxa"/>
                        <w:tcBorders>
                          <w:top w:val="outset" w:sz="6" w:space="0" w:color="auto"/>
                          <w:left w:val="outset" w:sz="6" w:space="0" w:color="auto"/>
                          <w:bottom w:val="outset" w:sz="6" w:space="0" w:color="auto"/>
                          <w:right w:val="outset" w:sz="6" w:space="0" w:color="auto"/>
                        </w:tcBorders>
                      </w:tcPr>
                      <w:p w:rsidR="00AC7D70" w:rsidRDefault="00622D94">
                        <w:pPr>
                          <w:pStyle w:val="a5"/>
                          <w:spacing w:line="168" w:lineRule="atLeast"/>
                          <w:jc w:val="both"/>
                          <w:rPr>
                            <w:sz w:val="20"/>
                            <w:szCs w:val="19"/>
                          </w:rPr>
                        </w:pPr>
                        <w:r>
                          <w:rPr>
                            <w:sz w:val="20"/>
                            <w:szCs w:val="19"/>
                          </w:rPr>
                          <w:t>Характеристика/ Метод</w:t>
                        </w:r>
                      </w:p>
                    </w:tc>
                    <w:tc>
                      <w:tcPr>
                        <w:tcW w:w="1296" w:type="dxa"/>
                        <w:tcBorders>
                          <w:top w:val="outset" w:sz="6" w:space="0" w:color="auto"/>
                          <w:left w:val="outset" w:sz="6" w:space="0" w:color="auto"/>
                          <w:bottom w:val="outset" w:sz="6" w:space="0" w:color="auto"/>
                          <w:right w:val="outset" w:sz="6" w:space="0" w:color="auto"/>
                        </w:tcBorders>
                      </w:tcPr>
                      <w:p w:rsidR="00AC7D70" w:rsidRDefault="00622D94">
                        <w:pPr>
                          <w:pStyle w:val="a5"/>
                          <w:spacing w:line="168" w:lineRule="atLeast"/>
                          <w:jc w:val="both"/>
                          <w:rPr>
                            <w:sz w:val="20"/>
                            <w:szCs w:val="19"/>
                          </w:rPr>
                        </w:pPr>
                        <w:r>
                          <w:rPr>
                            <w:sz w:val="20"/>
                            <w:szCs w:val="19"/>
                          </w:rPr>
                          <w:t>ПИФ</w:t>
                        </w:r>
                      </w:p>
                    </w:tc>
                    <w:tc>
                      <w:tcPr>
                        <w:tcW w:w="1224" w:type="dxa"/>
                        <w:tcBorders>
                          <w:top w:val="outset" w:sz="6" w:space="0" w:color="auto"/>
                          <w:left w:val="outset" w:sz="6" w:space="0" w:color="auto"/>
                          <w:bottom w:val="outset" w:sz="6" w:space="0" w:color="auto"/>
                          <w:right w:val="outset" w:sz="6" w:space="0" w:color="auto"/>
                        </w:tcBorders>
                      </w:tcPr>
                      <w:p w:rsidR="00AC7D70" w:rsidRDefault="00622D94">
                        <w:pPr>
                          <w:pStyle w:val="a5"/>
                          <w:spacing w:line="168" w:lineRule="atLeast"/>
                          <w:jc w:val="both"/>
                          <w:rPr>
                            <w:sz w:val="20"/>
                            <w:szCs w:val="19"/>
                          </w:rPr>
                        </w:pPr>
                        <w:r>
                          <w:rPr>
                            <w:sz w:val="20"/>
                            <w:szCs w:val="19"/>
                          </w:rPr>
                          <w:t>Культуральный посев</w:t>
                        </w:r>
                      </w:p>
                    </w:tc>
                    <w:tc>
                      <w:tcPr>
                        <w:tcW w:w="1596" w:type="dxa"/>
                        <w:tcBorders>
                          <w:top w:val="outset" w:sz="6" w:space="0" w:color="auto"/>
                          <w:left w:val="outset" w:sz="6" w:space="0" w:color="auto"/>
                          <w:bottom w:val="outset" w:sz="6" w:space="0" w:color="auto"/>
                          <w:right w:val="outset" w:sz="6" w:space="0" w:color="auto"/>
                        </w:tcBorders>
                      </w:tcPr>
                      <w:p w:rsidR="00AC7D70" w:rsidRDefault="00622D94">
                        <w:pPr>
                          <w:pStyle w:val="a5"/>
                          <w:spacing w:line="168" w:lineRule="atLeast"/>
                          <w:jc w:val="both"/>
                          <w:rPr>
                            <w:sz w:val="20"/>
                            <w:szCs w:val="19"/>
                          </w:rPr>
                        </w:pPr>
                        <w:r>
                          <w:rPr>
                            <w:sz w:val="20"/>
                            <w:szCs w:val="19"/>
                          </w:rPr>
                          <w:t>ИФА-методы</w:t>
                        </w:r>
                      </w:p>
                    </w:tc>
                    <w:tc>
                      <w:tcPr>
                        <w:tcW w:w="1344" w:type="dxa"/>
                        <w:tcBorders>
                          <w:top w:val="outset" w:sz="6" w:space="0" w:color="auto"/>
                          <w:left w:val="outset" w:sz="6" w:space="0" w:color="auto"/>
                          <w:bottom w:val="outset" w:sz="6" w:space="0" w:color="auto"/>
                          <w:right w:val="outset" w:sz="6" w:space="0" w:color="auto"/>
                        </w:tcBorders>
                      </w:tcPr>
                      <w:p w:rsidR="00AC7D70" w:rsidRDefault="00622D94">
                        <w:pPr>
                          <w:pStyle w:val="a5"/>
                          <w:spacing w:line="168" w:lineRule="atLeast"/>
                          <w:jc w:val="both"/>
                          <w:rPr>
                            <w:sz w:val="20"/>
                            <w:szCs w:val="19"/>
                          </w:rPr>
                        </w:pPr>
                        <w:r>
                          <w:rPr>
                            <w:sz w:val="20"/>
                            <w:szCs w:val="19"/>
                          </w:rPr>
                          <w:t>ПЦР</w:t>
                        </w:r>
                      </w:p>
                    </w:tc>
                  </w:tr>
                  <w:tr w:rsidR="00AC7D70">
                    <w:trPr>
                      <w:trHeight w:val="348"/>
                      <w:tblCellSpacing w:w="6" w:type="dxa"/>
                    </w:trPr>
                    <w:tc>
                      <w:tcPr>
                        <w:tcW w:w="1404"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0"/>
                            <w:szCs w:val="19"/>
                          </w:rPr>
                        </w:pPr>
                        <w:r>
                          <w:rPr>
                            <w:sz w:val="20"/>
                            <w:szCs w:val="19"/>
                          </w:rPr>
                          <w:t>Исследуемый материал</w:t>
                        </w:r>
                      </w:p>
                    </w:tc>
                    <w:tc>
                      <w:tcPr>
                        <w:tcW w:w="1296"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0"/>
                            <w:szCs w:val="19"/>
                          </w:rPr>
                        </w:pPr>
                        <w:r>
                          <w:rPr>
                            <w:sz w:val="20"/>
                            <w:szCs w:val="19"/>
                          </w:rPr>
                          <w:t>Любой</w:t>
                        </w:r>
                      </w:p>
                    </w:tc>
                    <w:tc>
                      <w:tcPr>
                        <w:tcW w:w="1224"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0"/>
                            <w:szCs w:val="19"/>
                          </w:rPr>
                        </w:pPr>
                        <w:r>
                          <w:rPr>
                            <w:sz w:val="20"/>
                            <w:szCs w:val="19"/>
                          </w:rPr>
                          <w:t>Большинство</w:t>
                        </w:r>
                      </w:p>
                    </w:tc>
                    <w:tc>
                      <w:tcPr>
                        <w:tcW w:w="1596"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0"/>
                            <w:szCs w:val="19"/>
                          </w:rPr>
                        </w:pPr>
                        <w:r>
                          <w:rPr>
                            <w:sz w:val="20"/>
                            <w:szCs w:val="19"/>
                          </w:rPr>
                          <w:t>Ограничения из-за неспецифичности реакций</w:t>
                        </w:r>
                      </w:p>
                    </w:tc>
                    <w:tc>
                      <w:tcPr>
                        <w:tcW w:w="1344"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0"/>
                            <w:szCs w:val="19"/>
                          </w:rPr>
                        </w:pPr>
                        <w:r>
                          <w:rPr>
                            <w:sz w:val="20"/>
                            <w:szCs w:val="19"/>
                          </w:rPr>
                          <w:t>Любой</w:t>
                        </w:r>
                      </w:p>
                    </w:tc>
                  </w:tr>
                  <w:tr w:rsidR="00AC7D70">
                    <w:trPr>
                      <w:trHeight w:val="216"/>
                      <w:tblCellSpacing w:w="6" w:type="dxa"/>
                    </w:trPr>
                    <w:tc>
                      <w:tcPr>
                        <w:tcW w:w="1404" w:type="dxa"/>
                        <w:tcBorders>
                          <w:top w:val="outset" w:sz="6" w:space="0" w:color="auto"/>
                          <w:left w:val="outset" w:sz="6" w:space="0" w:color="auto"/>
                          <w:bottom w:val="outset" w:sz="6" w:space="0" w:color="auto"/>
                          <w:right w:val="outset" w:sz="6" w:space="0" w:color="auto"/>
                        </w:tcBorders>
                      </w:tcPr>
                      <w:p w:rsidR="00AC7D70" w:rsidRDefault="00622D94">
                        <w:pPr>
                          <w:pStyle w:val="a5"/>
                          <w:spacing w:line="216" w:lineRule="atLeast"/>
                          <w:jc w:val="both"/>
                          <w:rPr>
                            <w:sz w:val="20"/>
                            <w:szCs w:val="19"/>
                          </w:rPr>
                        </w:pPr>
                        <w:r>
                          <w:rPr>
                            <w:sz w:val="20"/>
                            <w:szCs w:val="19"/>
                          </w:rPr>
                          <w:t>Значение правильно взятых проб</w:t>
                        </w:r>
                      </w:p>
                    </w:tc>
                    <w:tc>
                      <w:tcPr>
                        <w:tcW w:w="1296" w:type="dxa"/>
                        <w:tcBorders>
                          <w:top w:val="outset" w:sz="6" w:space="0" w:color="auto"/>
                          <w:left w:val="outset" w:sz="6" w:space="0" w:color="auto"/>
                          <w:bottom w:val="outset" w:sz="6" w:space="0" w:color="auto"/>
                          <w:right w:val="outset" w:sz="6" w:space="0" w:color="auto"/>
                        </w:tcBorders>
                      </w:tcPr>
                      <w:p w:rsidR="00AC7D70" w:rsidRDefault="00622D94">
                        <w:pPr>
                          <w:pStyle w:val="a5"/>
                          <w:spacing w:line="216" w:lineRule="atLeast"/>
                          <w:jc w:val="both"/>
                          <w:rPr>
                            <w:sz w:val="20"/>
                            <w:szCs w:val="19"/>
                          </w:rPr>
                        </w:pPr>
                        <w:r>
                          <w:rPr>
                            <w:sz w:val="20"/>
                            <w:szCs w:val="19"/>
                          </w:rPr>
                          <w:t>Решающее</w:t>
                        </w:r>
                      </w:p>
                    </w:tc>
                    <w:tc>
                      <w:tcPr>
                        <w:tcW w:w="1224" w:type="dxa"/>
                        <w:tcBorders>
                          <w:top w:val="outset" w:sz="6" w:space="0" w:color="auto"/>
                          <w:left w:val="outset" w:sz="6" w:space="0" w:color="auto"/>
                          <w:bottom w:val="outset" w:sz="6" w:space="0" w:color="auto"/>
                          <w:right w:val="outset" w:sz="6" w:space="0" w:color="auto"/>
                        </w:tcBorders>
                      </w:tcPr>
                      <w:p w:rsidR="00AC7D70" w:rsidRDefault="00622D94">
                        <w:pPr>
                          <w:pStyle w:val="a5"/>
                          <w:spacing w:line="216" w:lineRule="atLeast"/>
                          <w:jc w:val="both"/>
                          <w:rPr>
                            <w:sz w:val="20"/>
                            <w:szCs w:val="19"/>
                          </w:rPr>
                        </w:pPr>
                        <w:r>
                          <w:rPr>
                            <w:sz w:val="20"/>
                            <w:szCs w:val="19"/>
                          </w:rPr>
                          <w:t>Решающее</w:t>
                        </w:r>
                      </w:p>
                    </w:tc>
                    <w:tc>
                      <w:tcPr>
                        <w:tcW w:w="1596" w:type="dxa"/>
                        <w:tcBorders>
                          <w:top w:val="outset" w:sz="6" w:space="0" w:color="auto"/>
                          <w:left w:val="outset" w:sz="6" w:space="0" w:color="auto"/>
                          <w:bottom w:val="outset" w:sz="6" w:space="0" w:color="auto"/>
                          <w:right w:val="outset" w:sz="6" w:space="0" w:color="auto"/>
                        </w:tcBorders>
                      </w:tcPr>
                      <w:p w:rsidR="00AC7D70" w:rsidRDefault="00622D94">
                        <w:pPr>
                          <w:pStyle w:val="a5"/>
                          <w:spacing w:line="216" w:lineRule="atLeast"/>
                          <w:jc w:val="both"/>
                          <w:rPr>
                            <w:sz w:val="20"/>
                            <w:szCs w:val="19"/>
                          </w:rPr>
                        </w:pPr>
                        <w:r>
                          <w:rPr>
                            <w:sz w:val="20"/>
                            <w:szCs w:val="19"/>
                          </w:rPr>
                          <w:t>Решающее</w:t>
                        </w:r>
                      </w:p>
                    </w:tc>
                    <w:tc>
                      <w:tcPr>
                        <w:tcW w:w="1344" w:type="dxa"/>
                        <w:tcBorders>
                          <w:top w:val="outset" w:sz="6" w:space="0" w:color="auto"/>
                          <w:left w:val="outset" w:sz="6" w:space="0" w:color="auto"/>
                          <w:bottom w:val="outset" w:sz="6" w:space="0" w:color="auto"/>
                          <w:right w:val="outset" w:sz="6" w:space="0" w:color="auto"/>
                        </w:tcBorders>
                      </w:tcPr>
                      <w:p w:rsidR="00AC7D70" w:rsidRDefault="00622D94">
                        <w:pPr>
                          <w:pStyle w:val="a5"/>
                          <w:spacing w:line="216" w:lineRule="atLeast"/>
                          <w:jc w:val="both"/>
                          <w:rPr>
                            <w:sz w:val="20"/>
                            <w:szCs w:val="19"/>
                          </w:rPr>
                        </w:pPr>
                        <w:r>
                          <w:rPr>
                            <w:sz w:val="20"/>
                            <w:szCs w:val="19"/>
                          </w:rPr>
                          <w:t>Решающее</w:t>
                        </w:r>
                      </w:p>
                    </w:tc>
                  </w:tr>
                  <w:tr w:rsidR="00AC7D70">
                    <w:trPr>
                      <w:trHeight w:val="456"/>
                      <w:tblCellSpacing w:w="6" w:type="dxa"/>
                    </w:trPr>
                    <w:tc>
                      <w:tcPr>
                        <w:tcW w:w="1404"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0"/>
                            <w:szCs w:val="19"/>
                          </w:rPr>
                        </w:pPr>
                        <w:r>
                          <w:rPr>
                            <w:sz w:val="20"/>
                            <w:szCs w:val="19"/>
                          </w:rPr>
                          <w:t>Условия транспортировки проб</w:t>
                        </w:r>
                      </w:p>
                    </w:tc>
                    <w:tc>
                      <w:tcPr>
                        <w:tcW w:w="1296"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0"/>
                            <w:szCs w:val="19"/>
                          </w:rPr>
                        </w:pPr>
                        <w:r>
                          <w:rPr>
                            <w:sz w:val="20"/>
                            <w:szCs w:val="19"/>
                          </w:rPr>
                          <w:t>Если препарат фиксирован -условия не важны</w:t>
                        </w:r>
                      </w:p>
                    </w:tc>
                    <w:tc>
                      <w:tcPr>
                        <w:tcW w:w="1224"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0"/>
                            <w:szCs w:val="19"/>
                          </w:rPr>
                        </w:pPr>
                        <w:r>
                          <w:rPr>
                            <w:sz w:val="20"/>
                            <w:szCs w:val="19"/>
                          </w:rPr>
                          <w:t>Быстрая доставка или хранение при низкой температуре</w:t>
                        </w:r>
                      </w:p>
                    </w:tc>
                    <w:tc>
                      <w:tcPr>
                        <w:tcW w:w="1596"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0"/>
                            <w:szCs w:val="19"/>
                          </w:rPr>
                        </w:pPr>
                        <w:r>
                          <w:rPr>
                            <w:sz w:val="20"/>
                            <w:szCs w:val="19"/>
                          </w:rPr>
                          <w:t>Не имеет значения, если проба взята в буфер</w:t>
                        </w:r>
                      </w:p>
                    </w:tc>
                    <w:tc>
                      <w:tcPr>
                        <w:tcW w:w="1344"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0"/>
                            <w:szCs w:val="19"/>
                          </w:rPr>
                        </w:pPr>
                        <w:r>
                          <w:rPr>
                            <w:sz w:val="20"/>
                            <w:szCs w:val="19"/>
                          </w:rPr>
                          <w:t>Быстрая доставка или хранение при низкой t</w:t>
                        </w:r>
                        <w:r>
                          <w:rPr>
                            <w:sz w:val="20"/>
                            <w:szCs w:val="19"/>
                            <w:vertAlign w:val="superscript"/>
                          </w:rPr>
                          <w:t>o</w:t>
                        </w:r>
                        <w:r>
                          <w:rPr>
                            <w:sz w:val="20"/>
                            <w:szCs w:val="19"/>
                          </w:rPr>
                          <w:t xml:space="preserve"> менее важно, чем для культуры клеток</w:t>
                        </w:r>
                      </w:p>
                    </w:tc>
                  </w:tr>
                  <w:tr w:rsidR="00AC7D70">
                    <w:trPr>
                      <w:trHeight w:val="456"/>
                      <w:tblCellSpacing w:w="6" w:type="dxa"/>
                    </w:trPr>
                    <w:tc>
                      <w:tcPr>
                        <w:tcW w:w="1404"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0"/>
                            <w:szCs w:val="19"/>
                          </w:rPr>
                        </w:pPr>
                        <w:r>
                          <w:rPr>
                            <w:sz w:val="20"/>
                            <w:szCs w:val="19"/>
                          </w:rPr>
                          <w:t>Условия хранения</w:t>
                        </w:r>
                      </w:p>
                    </w:tc>
                    <w:tc>
                      <w:tcPr>
                        <w:tcW w:w="1296"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0"/>
                            <w:szCs w:val="19"/>
                          </w:rPr>
                        </w:pPr>
                        <w:r>
                          <w:rPr>
                            <w:sz w:val="20"/>
                            <w:szCs w:val="19"/>
                          </w:rPr>
                          <w:t>На короткое время при +4°С длительно при -20 °С</w:t>
                        </w:r>
                      </w:p>
                    </w:tc>
                    <w:tc>
                      <w:tcPr>
                        <w:tcW w:w="1224"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0"/>
                            <w:szCs w:val="19"/>
                          </w:rPr>
                        </w:pPr>
                        <w:r>
                          <w:rPr>
                            <w:sz w:val="20"/>
                            <w:szCs w:val="19"/>
                          </w:rPr>
                          <w:t>+4°С - сутки-двое. Длит хранение в жидком азоте</w:t>
                        </w:r>
                      </w:p>
                    </w:tc>
                    <w:tc>
                      <w:tcPr>
                        <w:tcW w:w="1596"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0"/>
                            <w:szCs w:val="19"/>
                          </w:rPr>
                        </w:pPr>
                        <w:r>
                          <w:rPr>
                            <w:sz w:val="20"/>
                            <w:szCs w:val="19"/>
                          </w:rPr>
                          <w:t>3 -5 дней при +4°С Замораживание снижает чувствительность</w:t>
                        </w:r>
                      </w:p>
                    </w:tc>
                    <w:tc>
                      <w:tcPr>
                        <w:tcW w:w="1344"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0"/>
                            <w:szCs w:val="19"/>
                          </w:rPr>
                        </w:pPr>
                        <w:r>
                          <w:rPr>
                            <w:sz w:val="20"/>
                            <w:szCs w:val="19"/>
                          </w:rPr>
                          <w:t>На короткое время + 4°С, две недели - 20°С Длительное время - в жидком азоте</w:t>
                        </w:r>
                      </w:p>
                    </w:tc>
                  </w:tr>
                  <w:tr w:rsidR="00AC7D70">
                    <w:trPr>
                      <w:trHeight w:val="348"/>
                      <w:tblCellSpacing w:w="6" w:type="dxa"/>
                    </w:trPr>
                    <w:tc>
                      <w:tcPr>
                        <w:tcW w:w="1404"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0"/>
                            <w:szCs w:val="19"/>
                          </w:rPr>
                        </w:pPr>
                        <w:r>
                          <w:rPr>
                            <w:sz w:val="20"/>
                            <w:szCs w:val="19"/>
                          </w:rPr>
                          <w:t>Проверка адекватности взятия материала</w:t>
                        </w:r>
                      </w:p>
                    </w:tc>
                    <w:tc>
                      <w:tcPr>
                        <w:tcW w:w="1296"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0"/>
                            <w:szCs w:val="19"/>
                          </w:rPr>
                        </w:pPr>
                        <w:r>
                          <w:rPr>
                            <w:sz w:val="20"/>
                            <w:szCs w:val="19"/>
                          </w:rPr>
                          <w:t>Мазки оценивают во время тестирования</w:t>
                        </w:r>
                      </w:p>
                    </w:tc>
                    <w:tc>
                      <w:tcPr>
                        <w:tcW w:w="1224"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0"/>
                            <w:szCs w:val="19"/>
                          </w:rPr>
                        </w:pPr>
                        <w:r>
                          <w:rPr>
                            <w:sz w:val="20"/>
                            <w:szCs w:val="19"/>
                          </w:rPr>
                          <w:t>Не практикуется</w:t>
                        </w:r>
                      </w:p>
                    </w:tc>
                    <w:tc>
                      <w:tcPr>
                        <w:tcW w:w="1596"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0"/>
                            <w:szCs w:val="19"/>
                          </w:rPr>
                        </w:pPr>
                        <w:r>
                          <w:rPr>
                            <w:sz w:val="20"/>
                            <w:szCs w:val="19"/>
                          </w:rPr>
                          <w:t>Не практикуется</w:t>
                        </w:r>
                      </w:p>
                    </w:tc>
                    <w:tc>
                      <w:tcPr>
                        <w:tcW w:w="1344"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0"/>
                            <w:szCs w:val="19"/>
                          </w:rPr>
                        </w:pPr>
                        <w:r>
                          <w:rPr>
                            <w:sz w:val="20"/>
                            <w:szCs w:val="19"/>
                          </w:rPr>
                          <w:t>Определяется, присутствует ли ДНК.</w:t>
                        </w:r>
                      </w:p>
                    </w:tc>
                  </w:tr>
                  <w:tr w:rsidR="00AC7D70">
                    <w:trPr>
                      <w:trHeight w:val="348"/>
                      <w:tblCellSpacing w:w="6" w:type="dxa"/>
                    </w:trPr>
                    <w:tc>
                      <w:tcPr>
                        <w:tcW w:w="1404"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0"/>
                            <w:szCs w:val="19"/>
                          </w:rPr>
                        </w:pPr>
                        <w:r>
                          <w:rPr>
                            <w:sz w:val="20"/>
                            <w:szCs w:val="19"/>
                          </w:rPr>
                          <w:t>Потребность в специальном оборудовании</w:t>
                        </w:r>
                      </w:p>
                    </w:tc>
                    <w:tc>
                      <w:tcPr>
                        <w:tcW w:w="1296"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0"/>
                            <w:szCs w:val="19"/>
                          </w:rPr>
                        </w:pPr>
                        <w:r>
                          <w:rPr>
                            <w:sz w:val="20"/>
                            <w:szCs w:val="19"/>
                          </w:rPr>
                          <w:t>Люминесцентный микроскоп</w:t>
                        </w:r>
                      </w:p>
                    </w:tc>
                    <w:tc>
                      <w:tcPr>
                        <w:tcW w:w="1224"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0"/>
                            <w:szCs w:val="19"/>
                          </w:rPr>
                        </w:pPr>
                        <w:r>
                          <w:rPr>
                            <w:sz w:val="20"/>
                            <w:szCs w:val="19"/>
                          </w:rPr>
                          <w:t>Центрифуга</w:t>
                        </w:r>
                      </w:p>
                    </w:tc>
                    <w:tc>
                      <w:tcPr>
                        <w:tcW w:w="1596"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0"/>
                            <w:szCs w:val="19"/>
                          </w:rPr>
                        </w:pPr>
                        <w:r>
                          <w:rPr>
                            <w:sz w:val="20"/>
                            <w:szCs w:val="19"/>
                          </w:rPr>
                          <w:t>Комплект для ИФА</w:t>
                        </w:r>
                      </w:p>
                    </w:tc>
                    <w:tc>
                      <w:tcPr>
                        <w:tcW w:w="1344"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0"/>
                            <w:szCs w:val="19"/>
                          </w:rPr>
                        </w:pPr>
                        <w:r>
                          <w:rPr>
                            <w:sz w:val="20"/>
                            <w:szCs w:val="19"/>
                          </w:rPr>
                          <w:t>Амплификатор и оборудование для электрофореза</w:t>
                        </w:r>
                      </w:p>
                    </w:tc>
                  </w:tr>
                  <w:tr w:rsidR="00AC7D70">
                    <w:trPr>
                      <w:trHeight w:val="348"/>
                      <w:tblCellSpacing w:w="6" w:type="dxa"/>
                    </w:trPr>
                    <w:tc>
                      <w:tcPr>
                        <w:tcW w:w="1404"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0"/>
                            <w:szCs w:val="19"/>
                          </w:rPr>
                        </w:pPr>
                        <w:r>
                          <w:rPr>
                            <w:sz w:val="20"/>
                            <w:szCs w:val="19"/>
                          </w:rPr>
                          <w:t>Обработка проб</w:t>
                        </w:r>
                      </w:p>
                    </w:tc>
                    <w:tc>
                      <w:tcPr>
                        <w:tcW w:w="1296"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0"/>
                            <w:szCs w:val="19"/>
                          </w:rPr>
                        </w:pPr>
                        <w:r>
                          <w:rPr>
                            <w:sz w:val="20"/>
                            <w:szCs w:val="19"/>
                          </w:rPr>
                          <w:t>Простая</w:t>
                        </w:r>
                      </w:p>
                    </w:tc>
                    <w:tc>
                      <w:tcPr>
                        <w:tcW w:w="1224"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0"/>
                            <w:szCs w:val="19"/>
                          </w:rPr>
                        </w:pPr>
                        <w:r>
                          <w:rPr>
                            <w:sz w:val="20"/>
                            <w:szCs w:val="19"/>
                          </w:rPr>
                          <w:t>Трудоемкая</w:t>
                        </w:r>
                      </w:p>
                    </w:tc>
                    <w:tc>
                      <w:tcPr>
                        <w:tcW w:w="1596"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0"/>
                            <w:szCs w:val="19"/>
                          </w:rPr>
                        </w:pPr>
                        <w:r>
                          <w:rPr>
                            <w:sz w:val="20"/>
                            <w:szCs w:val="19"/>
                          </w:rPr>
                          <w:t>Становится проще для новых тестов</w:t>
                        </w:r>
                      </w:p>
                    </w:tc>
                    <w:tc>
                      <w:tcPr>
                        <w:tcW w:w="1344"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0"/>
                            <w:szCs w:val="19"/>
                          </w:rPr>
                        </w:pPr>
                        <w:r>
                          <w:rPr>
                            <w:sz w:val="20"/>
                            <w:szCs w:val="19"/>
                          </w:rPr>
                          <w:t>Требует строгой предосторожности, чтобы не контаминировать ДНК</w:t>
                        </w:r>
                      </w:p>
                    </w:tc>
                  </w:tr>
                  <w:tr w:rsidR="00AC7D70">
                    <w:trPr>
                      <w:trHeight w:val="348"/>
                      <w:tblCellSpacing w:w="6" w:type="dxa"/>
                    </w:trPr>
                    <w:tc>
                      <w:tcPr>
                        <w:tcW w:w="1404"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0"/>
                            <w:szCs w:val="19"/>
                          </w:rPr>
                        </w:pPr>
                        <w:r>
                          <w:rPr>
                            <w:sz w:val="20"/>
                            <w:szCs w:val="19"/>
                          </w:rPr>
                          <w:t>Чтение результатов</w:t>
                        </w:r>
                      </w:p>
                    </w:tc>
                    <w:tc>
                      <w:tcPr>
                        <w:tcW w:w="1296"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0"/>
                            <w:szCs w:val="19"/>
                          </w:rPr>
                        </w:pPr>
                        <w:r>
                          <w:rPr>
                            <w:sz w:val="20"/>
                            <w:szCs w:val="19"/>
                          </w:rPr>
                          <w:t>Субъективное и утомительное</w:t>
                        </w:r>
                      </w:p>
                    </w:tc>
                    <w:tc>
                      <w:tcPr>
                        <w:tcW w:w="1224"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0"/>
                            <w:szCs w:val="19"/>
                          </w:rPr>
                        </w:pPr>
                        <w:r>
                          <w:rPr>
                            <w:sz w:val="20"/>
                            <w:szCs w:val="19"/>
                          </w:rPr>
                          <w:t>Субъективное умеренно утомительное</w:t>
                        </w:r>
                      </w:p>
                    </w:tc>
                    <w:tc>
                      <w:tcPr>
                        <w:tcW w:w="1596"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0"/>
                            <w:szCs w:val="19"/>
                          </w:rPr>
                        </w:pPr>
                        <w:r>
                          <w:rPr>
                            <w:sz w:val="20"/>
                            <w:szCs w:val="19"/>
                          </w:rPr>
                          <w:t>Объективное, Простое</w:t>
                        </w:r>
                      </w:p>
                    </w:tc>
                    <w:tc>
                      <w:tcPr>
                        <w:tcW w:w="1344"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0"/>
                            <w:szCs w:val="19"/>
                          </w:rPr>
                        </w:pPr>
                        <w:r>
                          <w:rPr>
                            <w:sz w:val="20"/>
                            <w:szCs w:val="19"/>
                          </w:rPr>
                          <w:t>Объективное, простое</w:t>
                        </w:r>
                      </w:p>
                    </w:tc>
                  </w:tr>
                  <w:tr w:rsidR="00AC7D70">
                    <w:trPr>
                      <w:trHeight w:val="108"/>
                      <w:tblCellSpacing w:w="6" w:type="dxa"/>
                    </w:trPr>
                    <w:tc>
                      <w:tcPr>
                        <w:tcW w:w="1404" w:type="dxa"/>
                        <w:tcBorders>
                          <w:top w:val="outset" w:sz="6" w:space="0" w:color="auto"/>
                          <w:left w:val="outset" w:sz="6" w:space="0" w:color="auto"/>
                          <w:bottom w:val="outset" w:sz="6" w:space="0" w:color="auto"/>
                          <w:right w:val="outset" w:sz="6" w:space="0" w:color="auto"/>
                        </w:tcBorders>
                      </w:tcPr>
                      <w:p w:rsidR="00AC7D70" w:rsidRDefault="00622D94">
                        <w:pPr>
                          <w:pStyle w:val="a5"/>
                          <w:spacing w:line="108" w:lineRule="atLeast"/>
                          <w:jc w:val="both"/>
                          <w:rPr>
                            <w:sz w:val="20"/>
                            <w:szCs w:val="19"/>
                          </w:rPr>
                        </w:pPr>
                        <w:r>
                          <w:rPr>
                            <w:sz w:val="20"/>
                            <w:szCs w:val="19"/>
                          </w:rPr>
                          <w:t>Время выполнения</w:t>
                        </w:r>
                      </w:p>
                    </w:tc>
                    <w:tc>
                      <w:tcPr>
                        <w:tcW w:w="1296" w:type="dxa"/>
                        <w:tcBorders>
                          <w:top w:val="outset" w:sz="6" w:space="0" w:color="auto"/>
                          <w:left w:val="outset" w:sz="6" w:space="0" w:color="auto"/>
                          <w:bottom w:val="outset" w:sz="6" w:space="0" w:color="auto"/>
                          <w:right w:val="outset" w:sz="6" w:space="0" w:color="auto"/>
                        </w:tcBorders>
                      </w:tcPr>
                      <w:p w:rsidR="00AC7D70" w:rsidRDefault="00622D94">
                        <w:pPr>
                          <w:pStyle w:val="a5"/>
                          <w:spacing w:line="108" w:lineRule="atLeast"/>
                          <w:jc w:val="both"/>
                          <w:rPr>
                            <w:sz w:val="20"/>
                            <w:szCs w:val="19"/>
                          </w:rPr>
                        </w:pPr>
                        <w:r>
                          <w:rPr>
                            <w:sz w:val="20"/>
                            <w:szCs w:val="19"/>
                          </w:rPr>
                          <w:t>30 минут</w:t>
                        </w:r>
                      </w:p>
                    </w:tc>
                    <w:tc>
                      <w:tcPr>
                        <w:tcW w:w="1224" w:type="dxa"/>
                        <w:tcBorders>
                          <w:top w:val="outset" w:sz="6" w:space="0" w:color="auto"/>
                          <w:left w:val="outset" w:sz="6" w:space="0" w:color="auto"/>
                          <w:bottom w:val="outset" w:sz="6" w:space="0" w:color="auto"/>
                          <w:right w:val="outset" w:sz="6" w:space="0" w:color="auto"/>
                        </w:tcBorders>
                      </w:tcPr>
                      <w:p w:rsidR="00AC7D70" w:rsidRDefault="00622D94">
                        <w:pPr>
                          <w:pStyle w:val="a5"/>
                          <w:spacing w:line="108" w:lineRule="atLeast"/>
                          <w:jc w:val="both"/>
                          <w:rPr>
                            <w:sz w:val="20"/>
                            <w:szCs w:val="19"/>
                          </w:rPr>
                        </w:pPr>
                        <w:r>
                          <w:rPr>
                            <w:sz w:val="20"/>
                            <w:szCs w:val="19"/>
                          </w:rPr>
                          <w:t>12-72 часа</w:t>
                        </w:r>
                      </w:p>
                    </w:tc>
                    <w:tc>
                      <w:tcPr>
                        <w:tcW w:w="1596" w:type="dxa"/>
                        <w:tcBorders>
                          <w:top w:val="outset" w:sz="6" w:space="0" w:color="auto"/>
                          <w:left w:val="outset" w:sz="6" w:space="0" w:color="auto"/>
                          <w:bottom w:val="outset" w:sz="6" w:space="0" w:color="auto"/>
                          <w:right w:val="outset" w:sz="6" w:space="0" w:color="auto"/>
                        </w:tcBorders>
                      </w:tcPr>
                      <w:p w:rsidR="00AC7D70" w:rsidRDefault="00622D94">
                        <w:pPr>
                          <w:pStyle w:val="a5"/>
                          <w:spacing w:line="108" w:lineRule="atLeast"/>
                          <w:jc w:val="both"/>
                          <w:rPr>
                            <w:sz w:val="20"/>
                            <w:szCs w:val="19"/>
                          </w:rPr>
                        </w:pPr>
                        <w:r>
                          <w:rPr>
                            <w:sz w:val="20"/>
                            <w:szCs w:val="19"/>
                          </w:rPr>
                          <w:t>3 часа</w:t>
                        </w:r>
                      </w:p>
                    </w:tc>
                    <w:tc>
                      <w:tcPr>
                        <w:tcW w:w="1344" w:type="dxa"/>
                        <w:tcBorders>
                          <w:top w:val="outset" w:sz="6" w:space="0" w:color="auto"/>
                          <w:left w:val="outset" w:sz="6" w:space="0" w:color="auto"/>
                          <w:bottom w:val="outset" w:sz="6" w:space="0" w:color="auto"/>
                          <w:right w:val="outset" w:sz="6" w:space="0" w:color="auto"/>
                        </w:tcBorders>
                      </w:tcPr>
                      <w:p w:rsidR="00AC7D70" w:rsidRDefault="00622D94">
                        <w:pPr>
                          <w:pStyle w:val="a5"/>
                          <w:spacing w:line="108" w:lineRule="atLeast"/>
                          <w:jc w:val="both"/>
                          <w:rPr>
                            <w:sz w:val="20"/>
                            <w:szCs w:val="19"/>
                          </w:rPr>
                        </w:pPr>
                        <w:r>
                          <w:rPr>
                            <w:sz w:val="20"/>
                            <w:szCs w:val="19"/>
                          </w:rPr>
                          <w:t>4,5-5 часов</w:t>
                        </w:r>
                      </w:p>
                    </w:tc>
                  </w:tr>
                  <w:tr w:rsidR="00AC7D70">
                    <w:trPr>
                      <w:trHeight w:val="216"/>
                      <w:tblCellSpacing w:w="6" w:type="dxa"/>
                    </w:trPr>
                    <w:tc>
                      <w:tcPr>
                        <w:tcW w:w="1404" w:type="dxa"/>
                        <w:tcBorders>
                          <w:top w:val="outset" w:sz="6" w:space="0" w:color="auto"/>
                          <w:left w:val="outset" w:sz="6" w:space="0" w:color="auto"/>
                          <w:bottom w:val="outset" w:sz="6" w:space="0" w:color="auto"/>
                          <w:right w:val="outset" w:sz="6" w:space="0" w:color="auto"/>
                        </w:tcBorders>
                      </w:tcPr>
                      <w:p w:rsidR="00AC7D70" w:rsidRDefault="00622D94">
                        <w:pPr>
                          <w:pStyle w:val="a5"/>
                          <w:spacing w:line="216" w:lineRule="atLeast"/>
                          <w:jc w:val="both"/>
                          <w:rPr>
                            <w:sz w:val="20"/>
                            <w:szCs w:val="19"/>
                          </w:rPr>
                        </w:pPr>
                        <w:r>
                          <w:rPr>
                            <w:sz w:val="20"/>
                            <w:szCs w:val="19"/>
                          </w:rPr>
                          <w:t>Способы проверки результатов</w:t>
                        </w:r>
                      </w:p>
                    </w:tc>
                    <w:tc>
                      <w:tcPr>
                        <w:tcW w:w="1296" w:type="dxa"/>
                        <w:tcBorders>
                          <w:top w:val="outset" w:sz="6" w:space="0" w:color="auto"/>
                          <w:left w:val="outset" w:sz="6" w:space="0" w:color="auto"/>
                          <w:bottom w:val="outset" w:sz="6" w:space="0" w:color="auto"/>
                          <w:right w:val="outset" w:sz="6" w:space="0" w:color="auto"/>
                        </w:tcBorders>
                      </w:tcPr>
                      <w:p w:rsidR="00AC7D70" w:rsidRDefault="00622D94">
                        <w:pPr>
                          <w:pStyle w:val="a5"/>
                          <w:spacing w:line="216" w:lineRule="atLeast"/>
                          <w:jc w:val="both"/>
                          <w:rPr>
                            <w:sz w:val="20"/>
                            <w:szCs w:val="19"/>
                          </w:rPr>
                        </w:pPr>
                        <w:r>
                          <w:rPr>
                            <w:sz w:val="20"/>
                            <w:szCs w:val="19"/>
                          </w:rPr>
                          <w:t>Повторный просмотр</w:t>
                        </w:r>
                      </w:p>
                    </w:tc>
                    <w:tc>
                      <w:tcPr>
                        <w:tcW w:w="1224" w:type="dxa"/>
                        <w:tcBorders>
                          <w:top w:val="outset" w:sz="6" w:space="0" w:color="auto"/>
                          <w:left w:val="outset" w:sz="6" w:space="0" w:color="auto"/>
                          <w:bottom w:val="outset" w:sz="6" w:space="0" w:color="auto"/>
                          <w:right w:val="outset" w:sz="6" w:space="0" w:color="auto"/>
                        </w:tcBorders>
                      </w:tcPr>
                      <w:p w:rsidR="00AC7D70" w:rsidRDefault="00622D94">
                        <w:pPr>
                          <w:pStyle w:val="a5"/>
                          <w:spacing w:line="216" w:lineRule="atLeast"/>
                          <w:jc w:val="both"/>
                          <w:rPr>
                            <w:sz w:val="20"/>
                            <w:szCs w:val="19"/>
                          </w:rPr>
                        </w:pPr>
                        <w:r>
                          <w:rPr>
                            <w:sz w:val="20"/>
                            <w:szCs w:val="19"/>
                          </w:rPr>
                          <w:t>Повторный просмотр</w:t>
                        </w:r>
                      </w:p>
                    </w:tc>
                    <w:tc>
                      <w:tcPr>
                        <w:tcW w:w="1596" w:type="dxa"/>
                        <w:tcBorders>
                          <w:top w:val="outset" w:sz="6" w:space="0" w:color="auto"/>
                          <w:left w:val="outset" w:sz="6" w:space="0" w:color="auto"/>
                          <w:bottom w:val="outset" w:sz="6" w:space="0" w:color="auto"/>
                          <w:right w:val="outset" w:sz="6" w:space="0" w:color="auto"/>
                        </w:tcBorders>
                      </w:tcPr>
                      <w:p w:rsidR="00AC7D70" w:rsidRDefault="00622D94">
                        <w:pPr>
                          <w:pStyle w:val="a5"/>
                          <w:spacing w:line="216" w:lineRule="atLeast"/>
                          <w:jc w:val="both"/>
                          <w:rPr>
                            <w:sz w:val="20"/>
                            <w:szCs w:val="19"/>
                          </w:rPr>
                        </w:pPr>
                        <w:r>
                          <w:rPr>
                            <w:sz w:val="20"/>
                            <w:szCs w:val="19"/>
                          </w:rPr>
                          <w:t>Повторение теста</w:t>
                        </w:r>
                      </w:p>
                    </w:tc>
                    <w:tc>
                      <w:tcPr>
                        <w:tcW w:w="1344" w:type="dxa"/>
                        <w:tcBorders>
                          <w:top w:val="outset" w:sz="6" w:space="0" w:color="auto"/>
                          <w:left w:val="outset" w:sz="6" w:space="0" w:color="auto"/>
                          <w:bottom w:val="outset" w:sz="6" w:space="0" w:color="auto"/>
                          <w:right w:val="outset" w:sz="6" w:space="0" w:color="auto"/>
                        </w:tcBorders>
                      </w:tcPr>
                      <w:p w:rsidR="00AC7D70" w:rsidRDefault="00622D94">
                        <w:pPr>
                          <w:pStyle w:val="a5"/>
                          <w:spacing w:line="216" w:lineRule="atLeast"/>
                          <w:jc w:val="both"/>
                          <w:rPr>
                            <w:sz w:val="20"/>
                            <w:szCs w:val="19"/>
                          </w:rPr>
                        </w:pPr>
                        <w:r>
                          <w:rPr>
                            <w:sz w:val="20"/>
                            <w:szCs w:val="19"/>
                          </w:rPr>
                          <w:t>Повторная проба или переваривание эндоуклеазой</w:t>
                        </w:r>
                      </w:p>
                    </w:tc>
                  </w:tr>
                  <w:tr w:rsidR="00AC7D70">
                    <w:trPr>
                      <w:trHeight w:val="348"/>
                      <w:tblCellSpacing w:w="6" w:type="dxa"/>
                    </w:trPr>
                    <w:tc>
                      <w:tcPr>
                        <w:tcW w:w="1404"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0"/>
                            <w:szCs w:val="19"/>
                          </w:rPr>
                        </w:pPr>
                        <w:r>
                          <w:rPr>
                            <w:sz w:val="20"/>
                            <w:szCs w:val="19"/>
                          </w:rPr>
                          <w:t>Результат зависит от следующих причин:</w:t>
                        </w:r>
                      </w:p>
                    </w:tc>
                    <w:tc>
                      <w:tcPr>
                        <w:tcW w:w="1296"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0"/>
                            <w:szCs w:val="19"/>
                          </w:rPr>
                        </w:pPr>
                        <w:r>
                          <w:rPr>
                            <w:sz w:val="20"/>
                            <w:szCs w:val="19"/>
                          </w:rPr>
                          <w:t>Опыта микроскописта</w:t>
                        </w:r>
                      </w:p>
                    </w:tc>
                    <w:tc>
                      <w:tcPr>
                        <w:tcW w:w="1224"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0"/>
                            <w:szCs w:val="19"/>
                          </w:rPr>
                        </w:pPr>
                        <w:r>
                          <w:rPr>
                            <w:sz w:val="20"/>
                            <w:szCs w:val="19"/>
                          </w:rPr>
                          <w:t>Чувствительности клеточной культуры</w:t>
                        </w:r>
                      </w:p>
                    </w:tc>
                    <w:tc>
                      <w:tcPr>
                        <w:tcW w:w="1596"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0"/>
                            <w:szCs w:val="19"/>
                          </w:rPr>
                        </w:pPr>
                        <w:r>
                          <w:rPr>
                            <w:sz w:val="20"/>
                            <w:szCs w:val="19"/>
                          </w:rPr>
                          <w:t>Присущей мощности теста</w:t>
                        </w:r>
                      </w:p>
                    </w:tc>
                    <w:tc>
                      <w:tcPr>
                        <w:tcW w:w="1344"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0"/>
                            <w:szCs w:val="19"/>
                          </w:rPr>
                        </w:pPr>
                        <w:r>
                          <w:rPr>
                            <w:sz w:val="20"/>
                            <w:szCs w:val="19"/>
                          </w:rPr>
                          <w:t>Требует хорошего контроля и отсуствия контаминации</w:t>
                        </w:r>
                      </w:p>
                    </w:tc>
                  </w:tr>
                  <w:tr w:rsidR="00AC7D70">
                    <w:trPr>
                      <w:trHeight w:val="216"/>
                      <w:tblCellSpacing w:w="6" w:type="dxa"/>
                    </w:trPr>
                    <w:tc>
                      <w:tcPr>
                        <w:tcW w:w="1404" w:type="dxa"/>
                        <w:tcBorders>
                          <w:top w:val="outset" w:sz="6" w:space="0" w:color="auto"/>
                          <w:left w:val="outset" w:sz="6" w:space="0" w:color="auto"/>
                          <w:bottom w:val="outset" w:sz="6" w:space="0" w:color="auto"/>
                          <w:right w:val="outset" w:sz="6" w:space="0" w:color="auto"/>
                        </w:tcBorders>
                      </w:tcPr>
                      <w:p w:rsidR="00AC7D70" w:rsidRDefault="00622D94">
                        <w:pPr>
                          <w:pStyle w:val="a5"/>
                          <w:spacing w:line="216" w:lineRule="atLeast"/>
                          <w:jc w:val="both"/>
                          <w:rPr>
                            <w:sz w:val="20"/>
                            <w:szCs w:val="19"/>
                          </w:rPr>
                        </w:pPr>
                        <w:r>
                          <w:rPr>
                            <w:sz w:val="20"/>
                            <w:szCs w:val="19"/>
                          </w:rPr>
                          <w:t>Способность к поддержанию штамма</w:t>
                        </w:r>
                      </w:p>
                    </w:tc>
                    <w:tc>
                      <w:tcPr>
                        <w:tcW w:w="1296" w:type="dxa"/>
                        <w:tcBorders>
                          <w:top w:val="outset" w:sz="6" w:space="0" w:color="auto"/>
                          <w:left w:val="outset" w:sz="6" w:space="0" w:color="auto"/>
                          <w:bottom w:val="outset" w:sz="6" w:space="0" w:color="auto"/>
                          <w:right w:val="outset" w:sz="6" w:space="0" w:color="auto"/>
                        </w:tcBorders>
                      </w:tcPr>
                      <w:p w:rsidR="00AC7D70" w:rsidRDefault="00622D94">
                        <w:pPr>
                          <w:pStyle w:val="a5"/>
                          <w:spacing w:line="216" w:lineRule="atLeast"/>
                          <w:jc w:val="both"/>
                          <w:rPr>
                            <w:sz w:val="20"/>
                            <w:szCs w:val="19"/>
                          </w:rPr>
                        </w:pPr>
                        <w:r>
                          <w:rPr>
                            <w:sz w:val="20"/>
                            <w:szCs w:val="19"/>
                          </w:rPr>
                          <w:t>Нет</w:t>
                        </w:r>
                      </w:p>
                    </w:tc>
                    <w:tc>
                      <w:tcPr>
                        <w:tcW w:w="1224" w:type="dxa"/>
                        <w:tcBorders>
                          <w:top w:val="outset" w:sz="6" w:space="0" w:color="auto"/>
                          <w:left w:val="outset" w:sz="6" w:space="0" w:color="auto"/>
                          <w:bottom w:val="outset" w:sz="6" w:space="0" w:color="auto"/>
                          <w:right w:val="outset" w:sz="6" w:space="0" w:color="auto"/>
                        </w:tcBorders>
                      </w:tcPr>
                      <w:p w:rsidR="00AC7D70" w:rsidRDefault="00622D94">
                        <w:pPr>
                          <w:pStyle w:val="a5"/>
                          <w:spacing w:line="216" w:lineRule="atLeast"/>
                          <w:jc w:val="both"/>
                          <w:rPr>
                            <w:sz w:val="20"/>
                            <w:szCs w:val="19"/>
                          </w:rPr>
                        </w:pPr>
                        <w:r>
                          <w:rPr>
                            <w:sz w:val="20"/>
                            <w:szCs w:val="19"/>
                          </w:rPr>
                          <w:t>Да</w:t>
                        </w:r>
                      </w:p>
                    </w:tc>
                    <w:tc>
                      <w:tcPr>
                        <w:tcW w:w="1596" w:type="dxa"/>
                        <w:tcBorders>
                          <w:top w:val="outset" w:sz="6" w:space="0" w:color="auto"/>
                          <w:left w:val="outset" w:sz="6" w:space="0" w:color="auto"/>
                          <w:bottom w:val="outset" w:sz="6" w:space="0" w:color="auto"/>
                          <w:right w:val="outset" w:sz="6" w:space="0" w:color="auto"/>
                        </w:tcBorders>
                      </w:tcPr>
                      <w:p w:rsidR="00AC7D70" w:rsidRDefault="00622D94">
                        <w:pPr>
                          <w:pStyle w:val="a5"/>
                          <w:spacing w:line="216" w:lineRule="atLeast"/>
                          <w:jc w:val="both"/>
                          <w:rPr>
                            <w:sz w:val="20"/>
                            <w:szCs w:val="19"/>
                          </w:rPr>
                        </w:pPr>
                        <w:r>
                          <w:rPr>
                            <w:sz w:val="20"/>
                            <w:szCs w:val="19"/>
                          </w:rPr>
                          <w:t>Нет</w:t>
                        </w:r>
                      </w:p>
                    </w:tc>
                    <w:tc>
                      <w:tcPr>
                        <w:tcW w:w="1344" w:type="dxa"/>
                        <w:tcBorders>
                          <w:top w:val="outset" w:sz="6" w:space="0" w:color="auto"/>
                          <w:left w:val="outset" w:sz="6" w:space="0" w:color="auto"/>
                          <w:bottom w:val="outset" w:sz="6" w:space="0" w:color="auto"/>
                          <w:right w:val="outset" w:sz="6" w:space="0" w:color="auto"/>
                        </w:tcBorders>
                      </w:tcPr>
                      <w:p w:rsidR="00AC7D70" w:rsidRDefault="00622D94">
                        <w:pPr>
                          <w:pStyle w:val="a5"/>
                          <w:spacing w:line="216" w:lineRule="atLeast"/>
                          <w:jc w:val="both"/>
                          <w:rPr>
                            <w:sz w:val="20"/>
                            <w:szCs w:val="19"/>
                          </w:rPr>
                        </w:pPr>
                        <w:r>
                          <w:rPr>
                            <w:sz w:val="20"/>
                            <w:szCs w:val="19"/>
                          </w:rPr>
                          <w:t>Нет</w:t>
                        </w:r>
                      </w:p>
                    </w:tc>
                  </w:tr>
                  <w:tr w:rsidR="00AC7D70">
                    <w:trPr>
                      <w:trHeight w:val="480"/>
                      <w:tblCellSpacing w:w="6" w:type="dxa"/>
                    </w:trPr>
                    <w:tc>
                      <w:tcPr>
                        <w:tcW w:w="1404"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0"/>
                            <w:szCs w:val="19"/>
                          </w:rPr>
                        </w:pPr>
                        <w:r>
                          <w:rPr>
                            <w:sz w:val="20"/>
                            <w:szCs w:val="19"/>
                          </w:rPr>
                          <w:t>Использование как контроля эффективности лечения</w:t>
                        </w:r>
                      </w:p>
                    </w:tc>
                    <w:tc>
                      <w:tcPr>
                        <w:tcW w:w="1296"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0"/>
                            <w:szCs w:val="19"/>
                          </w:rPr>
                        </w:pPr>
                        <w:r>
                          <w:rPr>
                            <w:sz w:val="20"/>
                            <w:szCs w:val="19"/>
                          </w:rPr>
                          <w:t>Ограничено</w:t>
                        </w:r>
                      </w:p>
                    </w:tc>
                    <w:tc>
                      <w:tcPr>
                        <w:tcW w:w="1224"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0"/>
                            <w:szCs w:val="19"/>
                          </w:rPr>
                        </w:pPr>
                        <w:r>
                          <w:rPr>
                            <w:sz w:val="20"/>
                            <w:szCs w:val="19"/>
                          </w:rPr>
                          <w:t>Рекомендуется</w:t>
                        </w:r>
                      </w:p>
                    </w:tc>
                    <w:tc>
                      <w:tcPr>
                        <w:tcW w:w="1596"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0"/>
                            <w:szCs w:val="19"/>
                          </w:rPr>
                        </w:pPr>
                        <w:r>
                          <w:rPr>
                            <w:sz w:val="20"/>
                            <w:szCs w:val="19"/>
                          </w:rPr>
                          <w:t>Ограничено</w:t>
                        </w:r>
                      </w:p>
                    </w:tc>
                    <w:tc>
                      <w:tcPr>
                        <w:tcW w:w="1344" w:type="dxa"/>
                        <w:tcBorders>
                          <w:top w:val="outset" w:sz="6" w:space="0" w:color="auto"/>
                          <w:left w:val="outset" w:sz="6" w:space="0" w:color="auto"/>
                          <w:bottom w:val="outset" w:sz="6" w:space="0" w:color="auto"/>
                          <w:right w:val="outset" w:sz="6" w:space="0" w:color="auto"/>
                        </w:tcBorders>
                      </w:tcPr>
                      <w:p w:rsidR="00AC7D70" w:rsidRDefault="00622D94">
                        <w:pPr>
                          <w:pStyle w:val="a5"/>
                          <w:jc w:val="both"/>
                          <w:rPr>
                            <w:sz w:val="20"/>
                            <w:szCs w:val="19"/>
                          </w:rPr>
                        </w:pPr>
                        <w:r>
                          <w:rPr>
                            <w:sz w:val="20"/>
                            <w:szCs w:val="19"/>
                          </w:rPr>
                          <w:t>Рекомендуется с ограничениями</w:t>
                        </w:r>
                      </w:p>
                    </w:tc>
                  </w:tr>
                </w:tbl>
                <w:p w:rsidR="00AC7D70" w:rsidRDefault="00AC7D70">
                  <w:pPr>
                    <w:jc w:val="both"/>
                    <w:rPr>
                      <w:sz w:val="19"/>
                      <w:szCs w:val="19"/>
                    </w:rPr>
                  </w:pPr>
                </w:p>
              </w:tc>
            </w:tr>
          </w:tbl>
          <w:p w:rsidR="00AC7D70" w:rsidRDefault="00AC7D70">
            <w:pPr>
              <w:spacing w:line="12" w:lineRule="atLeast"/>
              <w:jc w:val="both"/>
              <w:rPr>
                <w:sz w:val="19"/>
                <w:szCs w:val="19"/>
              </w:rPr>
            </w:pPr>
          </w:p>
        </w:tc>
      </w:tr>
    </w:tbl>
    <w:p w:rsidR="00AC7D70" w:rsidRDefault="00AC7D70">
      <w:pPr>
        <w:pStyle w:val="a5"/>
        <w:jc w:val="both"/>
        <w:rPr>
          <w:sz w:val="21"/>
          <w:szCs w:val="21"/>
        </w:rPr>
      </w:pPr>
    </w:p>
    <w:p w:rsidR="00AC7D70" w:rsidRDefault="00AC7D70">
      <w:pPr>
        <w:pStyle w:val="a5"/>
        <w:jc w:val="both"/>
        <w:rPr>
          <w:sz w:val="21"/>
          <w:szCs w:val="21"/>
        </w:rPr>
      </w:pPr>
    </w:p>
    <w:p w:rsidR="00AC7D70" w:rsidRDefault="00AC7D70">
      <w:pPr>
        <w:pStyle w:val="a5"/>
        <w:jc w:val="both"/>
        <w:rPr>
          <w:sz w:val="21"/>
          <w:szCs w:val="21"/>
        </w:rPr>
      </w:pPr>
    </w:p>
    <w:p w:rsidR="00AC7D70" w:rsidRDefault="00AC7D70">
      <w:pPr>
        <w:pStyle w:val="a5"/>
        <w:jc w:val="both"/>
        <w:rPr>
          <w:sz w:val="23"/>
          <w:szCs w:val="23"/>
        </w:rPr>
      </w:pPr>
    </w:p>
    <w:p w:rsidR="00AC7D70" w:rsidRDefault="00AC7D70">
      <w:pPr>
        <w:pStyle w:val="a5"/>
        <w:rPr>
          <w:sz w:val="21"/>
          <w:szCs w:val="21"/>
        </w:rPr>
      </w:pPr>
      <w:bookmarkStart w:id="2" w:name="_GoBack"/>
      <w:bookmarkEnd w:id="2"/>
    </w:p>
    <w:sectPr w:rsidR="00AC7D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2D94"/>
    <w:rsid w:val="00622D94"/>
    <w:rsid w:val="00AC7D70"/>
    <w:rsid w:val="00CD1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2362EA-D5E4-4641-82E5-3C0934432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Hyperlink"/>
    <w:basedOn w:val="a0"/>
    <w:semiHidden/>
    <w:rPr>
      <w:color w:val="0000FF"/>
      <w:u w:val="single"/>
    </w:rPr>
  </w:style>
  <w:style w:type="character" w:styleId="a4">
    <w:name w:val="FollowedHyperlink"/>
    <w:basedOn w:val="a0"/>
    <w:semiHidden/>
    <w:rPr>
      <w:color w:val="0000FF"/>
      <w:u w:val="single"/>
    </w:rPr>
  </w:style>
  <w:style w:type="paragraph" w:styleId="a5">
    <w:name w:val="Normal (Web)"/>
    <w:basedOn w:val="a"/>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image" Target="../../../../../&#1052;&#1086;&#1080;%20&#1076;&#1086;&#1082;&#1091;&#1084;&#1077;&#1085;&#1090;&#1099;/Refer/&#1061;&#1083;&#1072;&#1084;&#1080;&#1076;&#1080;&#1086;&#1079;%20-%20&#1089;&#1086;&#1074;&#1088;&#1077;&#1084;&#1077;&#1085;&#1085;&#1099;&#1077;%20&#1087;&#1086;&#1076;&#1093;&#1086;&#1076;&#1099;%20&#1082;%20&#1076;&#1080;&#1072;&#1075;&#1085;&#1086;&#1089;&#1090;&#1080;&#1082;&#1077;%20&#1080;%20&#1083;&#1077;&#1095;&#1077;&#1085;&#1080;&#1102;5.files/1.jpg" TargetMode="Externa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5474</Words>
  <Characters>31208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Хламидиоз - современные подходы к диагностике и лечению</vt:lpstr>
    </vt:vector>
  </TitlesOfParts>
  <Company>ЧГМА</Company>
  <LinksUpToDate>false</LinksUpToDate>
  <CharactersWithSpaces>36609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Хламидиоз - современные подходы к диагностике и лечению</dc:title>
  <dc:subject/>
  <dc:creator>Ефимчик</dc:creator>
  <cp:keywords/>
  <dc:description/>
  <cp:lastModifiedBy>admin</cp:lastModifiedBy>
  <cp:revision>2</cp:revision>
  <dcterms:created xsi:type="dcterms:W3CDTF">2014-04-18T18:22:00Z</dcterms:created>
  <dcterms:modified xsi:type="dcterms:W3CDTF">2014-04-18T18:22:00Z</dcterms:modified>
</cp:coreProperties>
</file>