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DB38BD" w:rsidRPr="00F172C5" w:rsidRDefault="00DB38BD" w:rsidP="00F172C5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B43259" w:rsidRPr="00F172C5" w:rsidRDefault="00DB38BD" w:rsidP="00F172C5">
      <w:pPr>
        <w:pStyle w:val="Style1"/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color w:val="000000"/>
          <w:sz w:val="28"/>
        </w:rPr>
      </w:pPr>
      <w:r w:rsidRPr="00F172C5">
        <w:rPr>
          <w:rStyle w:val="FontStyle11"/>
          <w:rFonts w:ascii="Times New Roman" w:hAnsi="Times New Roman" w:cs="Times New Roman"/>
          <w:color w:val="000000"/>
          <w:sz w:val="28"/>
        </w:rPr>
        <w:t>Иммуноанализ методом подсчета частиц</w:t>
      </w:r>
    </w:p>
    <w:p w:rsidR="00B43259" w:rsidRPr="00F172C5" w:rsidRDefault="00B43259" w:rsidP="00F172C5">
      <w:pPr>
        <w:pStyle w:val="Style2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B43259" w:rsidRPr="00F172C5" w:rsidRDefault="00B43259" w:rsidP="00F172C5">
      <w:pPr>
        <w:pStyle w:val="Style2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B43259" w:rsidRPr="00F172C5" w:rsidRDefault="00B0518A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br w:type="page"/>
      </w:r>
      <w:r w:rsidR="00B43259" w:rsidRPr="00F172C5">
        <w:rPr>
          <w:rStyle w:val="FontStyle19"/>
          <w:color w:val="000000"/>
          <w:sz w:val="28"/>
        </w:rPr>
        <w:lastRenderedPageBreak/>
        <w:t>ВВЕДЕНИЕ</w:t>
      </w:r>
    </w:p>
    <w:p w:rsidR="00A8070A" w:rsidRPr="00F172C5" w:rsidRDefault="00A8070A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Агглютинационные свойства антител известны уже давно. По сути дела, именно способность антител вызывать агглютинацию и</w:t>
      </w:r>
      <w:r w:rsidR="00BF6BDD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привела к открытию и идентификации антител. В середине 50-х годов эти свойства антител были впервые использованы Сингером и Плотцом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при создании иммуноанализа с латексной агглютинацией. За прошедшие годы этот метод интенсивно развивался и совершенствовался. Хотя значительная часть исследований была направлена на развитие количественного анализа, до последнего времени основные достижения иммуноанализа с латексной агглютинацией ограничивались разработкой методик качественного анализа, прежде всего для контроля беременности и в серологии. Развитие исследований сдерживалось из-за влияния белков сыворотки на результаты анализа и в связи с недостаточной чувствительностью метода.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В конце 70-х годов Массой и др.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впервые описали ряд способов и приемов, позволяющих: 1) повысить чувствительность анализа, 2) устранить специфические и неспецифические побочные эффекты, мешающие ходу анализа, 3) расширить диапазон применения</w:t>
      </w:r>
      <w:r w:rsidR="00B0518A" w:rsidRPr="00F172C5">
        <w:rPr>
          <w:rStyle w:val="FontStyle13"/>
          <w:color w:val="000000"/>
          <w:sz w:val="28"/>
        </w:rPr>
        <w:t>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Совершенствование, сочетание и расширение этих способов и приемов позволили создать систему гомогенного анализа - имму-ноанализ методом подсчета частиц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Эта глава посвящена описанию системы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и обсуждению основных направлений ее дальнейшего развития.</w:t>
      </w:r>
    </w:p>
    <w:p w:rsidR="00A8070A" w:rsidRPr="00F172C5" w:rsidRDefault="00A8070A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</w:p>
    <w:p w:rsidR="00B43259" w:rsidRDefault="00A8070A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br w:type="page"/>
      </w:r>
      <w:r w:rsidR="00F172C5">
        <w:rPr>
          <w:rStyle w:val="FontStyle19"/>
          <w:color w:val="000000"/>
          <w:sz w:val="28"/>
        </w:rPr>
        <w:t xml:space="preserve">1. </w:t>
      </w:r>
      <w:r w:rsidR="00B43259" w:rsidRPr="00F172C5">
        <w:rPr>
          <w:rStyle w:val="FontStyle19"/>
          <w:color w:val="000000"/>
          <w:sz w:val="28"/>
        </w:rPr>
        <w:t>ПРИНЦИПЫ АНАЛИЗА</w:t>
      </w:r>
    </w:p>
    <w:p w:rsidR="00F172C5" w:rsidRP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Основной принцип системы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очень прост: иммуноанализ с латексной агглютинацией выполняется с помощью полностью автоматизированного комплекса, осуществляющего все операции и обработку данных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После инкубации реакционная смесь разбавляется и затем пропускается через проточную кювету оптического счетчика частиц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Счетчик подсчитывает только неагглютинированные частицы, а компьютер с помощью полученных данных строит калибровочную кривую и находит концентрацию определяемого вещества в клинических пробах.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Коллимированный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луч света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сфокусированный до диаметра 7,5 мкм, проходит через проточную кювету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 попадает на черное пятно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Если свет встречает на своем пути частицы, то последние рассеивают свет так, что он проходит мимо пятна и попадает на коллектор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Интенсивность света измеряется фотоумножителем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выход которого подключен к простому анализатору высоты импульса. Импульсы, соответствующие отдельным частицам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подсчитываются и анализируются. Импульсы от фонового шума или полимерных частиц не учитываются.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Антигены количественно определяют путем смешивания пробы сыворотки, плазмы, цереброспинальной жидкости или мочи с суспендированными в буфере латексными частицами диаметром 0,8 мкм, на которые нанесены антитела. Антигены из пробы агглютинируют некоторые такие частицы, снижая тем самым число оставшихся частиц.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Следовательно, концентрация антигена должна быть обратно пропорциональной числу неагтлюти-нированных частиц</w:t>
      </w:r>
      <w:r w:rsidR="00B0518A" w:rsidRPr="00F172C5">
        <w:rPr>
          <w:rStyle w:val="FontStyle13"/>
          <w:color w:val="000000"/>
          <w:sz w:val="28"/>
        </w:rPr>
        <w:t>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Аналогично определяют антитела, способные агглютинировать латексные частицы, на которые нанесены антигены. Агглютинирующую активность антител иммуноглобулина </w:t>
      </w:r>
      <w:r w:rsidRPr="00F172C5">
        <w:rPr>
          <w:rStyle w:val="FontStyle13"/>
          <w:color w:val="000000"/>
          <w:sz w:val="28"/>
          <w:lang w:val="en-US"/>
        </w:rPr>
        <w:t>G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можно усилить ревматоидным фактором </w:t>
      </w:r>
      <w:r w:rsidRPr="00F172C5">
        <w:rPr>
          <w:rStyle w:val="FontStyle13"/>
          <w:color w:val="000000"/>
          <w:sz w:val="28"/>
          <w:lang w:val="en-US"/>
        </w:rPr>
        <w:t>IgM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RF</w:t>
      </w:r>
      <w:r w:rsidRPr="00F172C5">
        <w:rPr>
          <w:rStyle w:val="FontStyle13"/>
          <w:color w:val="000000"/>
          <w:sz w:val="28"/>
        </w:rPr>
        <w:t xml:space="preserve"> выгодно отличается от антисыворотки против иммуноглобулинов тем, что не требует операции промывки для удаления несвязанных иммуноглобулинов. Неспособность некоторых антигенов, например фосфолипазы А2 - аллергена пчелиного яда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и антигена вируса </w:t>
      </w:r>
      <w:r w:rsidRPr="00F172C5">
        <w:rPr>
          <w:rStyle w:val="FontStyle14"/>
          <w:color w:val="000000"/>
          <w:spacing w:val="0"/>
          <w:sz w:val="28"/>
          <w:lang w:val="en-US"/>
        </w:rPr>
        <w:t>Herpes</w:t>
      </w:r>
      <w:r w:rsidRPr="00F172C5">
        <w:rPr>
          <w:rStyle w:val="FontStyle14"/>
          <w:color w:val="000000"/>
          <w:spacing w:val="0"/>
          <w:sz w:val="28"/>
        </w:rPr>
        <w:t xml:space="preserve"> </w:t>
      </w:r>
      <w:r w:rsidRPr="00F172C5">
        <w:rPr>
          <w:rStyle w:val="FontStyle14"/>
          <w:color w:val="000000"/>
          <w:spacing w:val="0"/>
          <w:sz w:val="28"/>
          <w:lang w:val="en-US"/>
        </w:rPr>
        <w:t>simplex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к солюбилизации может привести к неспецифическому связыванию иммуноглобулинов. Этот источник ошибок можно устранить с помощью частиц латекса, на которые нанесены антитела. Такие частицы агглютинируют в присутствии антигена. Тогда изучаемые антитела можно определять титрованием, воспользовавшись их способностью ингибировать агглютинацию.</w:t>
      </w:r>
    </w:p>
    <w:p w:rsidR="00F172C5" w:rsidRPr="00F172C5" w:rsidRDefault="00B43259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Иммунные комплексы </w:t>
      </w:r>
      <w:r w:rsidR="00BF6BDD">
        <w:rPr>
          <w:rStyle w:val="FontStyle13"/>
          <w:color w:val="000000"/>
          <w:sz w:val="28"/>
        </w:rPr>
        <w:t xml:space="preserve">(рис.1) </w:t>
      </w:r>
      <w:r w:rsidRPr="00F172C5">
        <w:rPr>
          <w:rStyle w:val="FontStyle13"/>
          <w:color w:val="000000"/>
          <w:sz w:val="28"/>
        </w:rPr>
        <w:t xml:space="preserve">определяют по агглютинирующей активности </w:t>
      </w:r>
      <w:r w:rsidRPr="00F172C5">
        <w:rPr>
          <w:rStyle w:val="FontStyle13"/>
          <w:color w:val="000000"/>
          <w:sz w:val="28"/>
          <w:lang w:val="en-US"/>
        </w:rPr>
        <w:t>RF</w:t>
      </w:r>
      <w:r w:rsidRPr="00F172C5">
        <w:rPr>
          <w:rStyle w:val="FontStyle13"/>
          <w:color w:val="000000"/>
          <w:sz w:val="28"/>
        </w:rPr>
        <w:t xml:space="preserve"> или мышиных </w:t>
      </w:r>
      <w:r w:rsidRPr="00F172C5">
        <w:rPr>
          <w:rStyle w:val="FontStyle13"/>
          <w:color w:val="000000"/>
          <w:sz w:val="28"/>
          <w:lang w:val="en-US"/>
        </w:rPr>
        <w:t>Clq</w:t>
      </w:r>
      <w:r w:rsidRPr="00F172C5">
        <w:rPr>
          <w:rStyle w:val="FontStyle13"/>
          <w:color w:val="000000"/>
          <w:sz w:val="28"/>
        </w:rPr>
        <w:t xml:space="preserve"> по отношению к латексным частицам, покрытым </w:t>
      </w:r>
      <w:r w:rsidRPr="00F172C5">
        <w:rPr>
          <w:rStyle w:val="FontStyle13"/>
          <w:color w:val="000000"/>
          <w:sz w:val="28"/>
          <w:lang w:val="en-US"/>
        </w:rPr>
        <w:t>IgG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Иммунные комплексы, связывающие агг</w:t>
      </w:r>
      <w:r w:rsidR="00F172C5" w:rsidRPr="00F172C5">
        <w:rPr>
          <w:rStyle w:val="FontStyle13"/>
          <w:color w:val="000000"/>
          <w:sz w:val="28"/>
        </w:rPr>
        <w:t xml:space="preserve">лютинмрующий агент, уменьшают степень агглютинации </w:t>
      </w:r>
      <w:r w:rsidR="00F172C5" w:rsidRPr="00F172C5">
        <w:rPr>
          <w:rStyle w:val="FontStyle19"/>
          <w:color w:val="000000"/>
          <w:sz w:val="28"/>
        </w:rPr>
        <w:t xml:space="preserve">латекса. </w:t>
      </w:r>
      <w:r w:rsidR="00F172C5" w:rsidRPr="00F172C5">
        <w:rPr>
          <w:rStyle w:val="FontStyle13"/>
          <w:color w:val="000000"/>
          <w:sz w:val="28"/>
        </w:rPr>
        <w:t>Следовательно, концентрация иммунных комплексов пропорциональна концентрации неагглютинированнык частиц</w:t>
      </w:r>
      <w:r w:rsidR="00AD40ED">
        <w:rPr>
          <w:rStyle w:val="FontStyle13"/>
          <w:color w:val="000000"/>
          <w:sz w:val="28"/>
        </w:rPr>
        <w:t xml:space="preserve"> (рис.2)</w:t>
      </w:r>
      <w:r w:rsidR="00F172C5" w:rsidRPr="00F172C5">
        <w:rPr>
          <w:rStyle w:val="FontStyle13"/>
          <w:color w:val="000000"/>
          <w:sz w:val="28"/>
        </w:rPr>
        <w:t>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79.75pt">
            <v:imagedata r:id="rId7" o:title=""/>
          </v:shape>
        </w:pict>
      </w:r>
    </w:p>
    <w:p w:rsidR="00B43259" w:rsidRPr="00F172C5" w:rsidRDefault="00BF6BDD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014D6">
        <w:rPr>
          <w:color w:val="000000"/>
          <w:sz w:val="28"/>
        </w:rPr>
        <w:pict>
          <v:shape id="_x0000_i1026" type="#_x0000_t75" style="width:177.75pt;height:153.75pt">
            <v:imagedata r:id="rId8" o:title=""/>
          </v:shape>
        </w:pict>
      </w:r>
    </w:p>
    <w:p w:rsidR="00BF6BDD" w:rsidRDefault="00BF6BDD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  <w:lang w:eastAsia="en-US"/>
        </w:rPr>
      </w:pPr>
      <w:r w:rsidRPr="00F172C5">
        <w:rPr>
          <w:rStyle w:val="FontStyle13"/>
          <w:color w:val="000000"/>
          <w:sz w:val="28"/>
        </w:rPr>
        <w:t xml:space="preserve">Гаптены определяют с помощью частиц латекса, </w:t>
      </w:r>
      <w:r w:rsidRPr="00F172C5">
        <w:rPr>
          <w:rStyle w:val="FontStyle19"/>
          <w:color w:val="000000"/>
          <w:sz w:val="28"/>
        </w:rPr>
        <w:t xml:space="preserve">на </w:t>
      </w:r>
      <w:r w:rsidRPr="00F172C5">
        <w:rPr>
          <w:rStyle w:val="FontStyle13"/>
          <w:color w:val="000000"/>
          <w:sz w:val="28"/>
          <w:lang w:val="en-US"/>
        </w:rPr>
        <w:t>teoroptte</w:t>
      </w:r>
      <w:r w:rsidRPr="00F172C5">
        <w:rPr>
          <w:rStyle w:val="FontStyle13"/>
          <w:color w:val="000000"/>
          <w:sz w:val="28"/>
        </w:rPr>
        <w:t xml:space="preserve"> нанесены молекулы гаптена и антител </w:t>
      </w:r>
      <w:r w:rsidRPr="00F172C5">
        <w:rPr>
          <w:rStyle w:val="FontStyle13"/>
          <w:color w:val="000000"/>
          <w:sz w:val="28"/>
          <w:lang w:val="en-US"/>
        </w:rPr>
        <w:t>IgG</w:t>
      </w:r>
      <w:r w:rsidRPr="00F172C5">
        <w:rPr>
          <w:rStyle w:val="FontStyle13"/>
          <w:color w:val="000000"/>
          <w:sz w:val="28"/>
        </w:rPr>
        <w:t xml:space="preserve"> против </w:t>
      </w:r>
      <w:r w:rsidRPr="00F172C5">
        <w:rPr>
          <w:rStyle w:val="FontStyle19"/>
          <w:color w:val="000000"/>
          <w:sz w:val="28"/>
        </w:rPr>
        <w:t>гаптена</w:t>
      </w:r>
      <w:r w:rsidR="00AD40ED">
        <w:rPr>
          <w:rStyle w:val="FontStyle19"/>
          <w:color w:val="000000"/>
          <w:sz w:val="28"/>
        </w:rPr>
        <w:t xml:space="preserve"> (рис.3)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Образующийся комплекс а</w:t>
      </w:r>
      <w:r w:rsidRPr="00BF6BDD">
        <w:rPr>
          <w:rStyle w:val="FontStyle13"/>
          <w:color w:val="000000"/>
          <w:sz w:val="28"/>
        </w:rPr>
        <w:t>гглютинирует</w:t>
      </w:r>
      <w:r w:rsidRPr="00F172C5">
        <w:rPr>
          <w:rStyle w:val="FontStyle13"/>
          <w:color w:val="000000"/>
          <w:sz w:val="28"/>
        </w:rPr>
        <w:t xml:space="preserve"> присутствии</w:t>
      </w:r>
      <w:r w:rsidR="00BF6BDD">
        <w:rPr>
          <w:rStyle w:val="FontStyle13"/>
          <w:color w:val="000000"/>
          <w:sz w:val="28"/>
        </w:rPr>
        <w:t xml:space="preserve"> </w:t>
      </w:r>
      <w:r w:rsidR="00BF6BDD" w:rsidRPr="00F172C5">
        <w:rPr>
          <w:rStyle w:val="FontStyle13"/>
          <w:color w:val="000000"/>
          <w:sz w:val="28"/>
          <w:lang w:val="en-US" w:eastAsia="en-US"/>
        </w:rPr>
        <w:t>RF</w:t>
      </w:r>
      <w:r w:rsidR="00BF6BDD" w:rsidRPr="00F172C5">
        <w:rPr>
          <w:rStyle w:val="FontStyle13"/>
          <w:color w:val="000000"/>
          <w:sz w:val="28"/>
          <w:lang w:eastAsia="en-US"/>
        </w:rPr>
        <w:t xml:space="preserve"> человека.</w:t>
      </w:r>
    </w:p>
    <w:p w:rsidR="00BF6BDD" w:rsidRPr="00F172C5" w:rsidRDefault="00BF6BDD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98pt;height:154.5pt">
            <v:imagedata r:id="rId9" o:title=""/>
          </v:shape>
        </w:pict>
      </w:r>
    </w:p>
    <w:p w:rsidR="00AD40ED" w:rsidRPr="00F172C5" w:rsidRDefault="00AD40ED" w:rsidP="00F172C5">
      <w:pPr>
        <w:spacing w:line="360" w:lineRule="auto"/>
        <w:ind w:firstLine="709"/>
        <w:jc w:val="both"/>
        <w:rPr>
          <w:color w:val="000000"/>
          <w:sz w:val="28"/>
        </w:rPr>
      </w:pPr>
    </w:p>
    <w:p w:rsidR="00B43259" w:rsidRPr="00F172C5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77pt;height:133.5pt">
            <v:imagedata r:id="rId10" o:title=""/>
          </v:shape>
        </w:pict>
      </w:r>
    </w:p>
    <w:p w:rsidR="00AD40ED" w:rsidRDefault="00AD40ED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  <w:lang w:eastAsia="en-US"/>
        </w:rPr>
      </w:pPr>
    </w:p>
    <w:p w:rsidR="00B43259" w:rsidRPr="00F172C5" w:rsidRDefault="00B43259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  <w:lang w:eastAsia="en-US"/>
        </w:rPr>
      </w:pPr>
      <w:r w:rsidRPr="00F172C5">
        <w:rPr>
          <w:rStyle w:val="FontStyle13"/>
          <w:color w:val="000000"/>
          <w:sz w:val="28"/>
          <w:lang w:eastAsia="en-US"/>
        </w:rPr>
        <w:t xml:space="preserve">Если в пробе содержится свободный гаптен, он конкурирует с конъюгатом гаптен-латекс за центры связывания антител </w:t>
      </w:r>
      <w:r w:rsidRPr="00F172C5">
        <w:rPr>
          <w:rStyle w:val="FontStyle13"/>
          <w:color w:val="000000"/>
          <w:sz w:val="28"/>
          <w:lang w:val="en-US" w:eastAsia="en-US"/>
        </w:rPr>
        <w:t>IgG</w:t>
      </w:r>
      <w:r w:rsidRPr="00F172C5">
        <w:rPr>
          <w:rStyle w:val="FontStyle13"/>
          <w:color w:val="000000"/>
          <w:sz w:val="28"/>
          <w:lang w:eastAsia="en-US"/>
        </w:rPr>
        <w:t xml:space="preserve"> и поэтому ингибирует агглютинацию, что приводит к увеличению числа неагглютинированных частиц. Концентрация гап-тена пропорциональна числу неагглютинированных частиц</w:t>
      </w:r>
      <w:r w:rsidR="00B0518A" w:rsidRPr="00F172C5">
        <w:rPr>
          <w:rStyle w:val="FontStyle13"/>
          <w:color w:val="000000"/>
          <w:sz w:val="28"/>
          <w:lang w:eastAsia="en-US"/>
        </w:rPr>
        <w:t>.</w:t>
      </w:r>
    </w:p>
    <w:p w:rsidR="00B43259" w:rsidRPr="00F172C5" w:rsidRDefault="00B43259" w:rsidP="00F172C5">
      <w:pPr>
        <w:pStyle w:val="Style7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B43259" w:rsidRPr="00F172C5" w:rsidRDefault="00F172C5" w:rsidP="00F172C5">
      <w:pPr>
        <w:pStyle w:val="Style7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>
        <w:rPr>
          <w:rStyle w:val="FontStyle19"/>
          <w:color w:val="000000"/>
          <w:sz w:val="28"/>
        </w:rPr>
        <w:t>2</w:t>
      </w:r>
      <w:r w:rsidR="00B43259" w:rsidRPr="00F172C5">
        <w:rPr>
          <w:rStyle w:val="FontStyle19"/>
          <w:color w:val="000000"/>
          <w:sz w:val="28"/>
        </w:rPr>
        <w:t>. УСТРАНЕНИЕ ПОБОЧНЫХ ЭФФЕКТОВ СЫВОРОТКИ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Агглютинации могут мешать многие факторы. Они обычно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приводят к нежелательной самоагглютинации, степень которой изменяется от пробы к пробе. Для устранения соответствующих эффектов разработан ряд методик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ив конкретных анализах веществ одна или несколько таких методик обычно обязательны.</w:t>
      </w: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Неспецифические эффекты могут быть обусловлены неустойчивостью любых латексных суспензий, даже если на поверхность частиц не нанесено никаких веществ. Эти эффекты снижаются при тщательном подборе буферных растворов, связываемых с частицами белков, и характеристик частиц, в том числе полярности и' плотности поверхностного заряда. Ионная сила буферных растворов должна обеспечивать примерно нейтральный результирующий</w:t>
      </w:r>
      <w:r w:rsidR="00AD40ED" w:rsidRPr="00AD40ED">
        <w:rPr>
          <w:rStyle w:val="FontStyle13"/>
          <w:color w:val="000000"/>
          <w:sz w:val="28"/>
        </w:rPr>
        <w:t xml:space="preserve"> </w:t>
      </w:r>
      <w:r w:rsidR="00AD40ED" w:rsidRPr="00F172C5">
        <w:rPr>
          <w:rStyle w:val="FontStyle13"/>
          <w:color w:val="000000"/>
          <w:sz w:val="28"/>
        </w:rPr>
        <w:t>поверхностный заряд.</w:t>
      </w:r>
    </w:p>
    <w:p w:rsidR="00AD40ED" w:rsidRPr="00F172C5" w:rsidRDefault="00AD40ED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327pt;height:138.75pt">
            <v:imagedata r:id="rId11" o:title=""/>
          </v:shape>
        </w:pict>
      </w:r>
    </w:p>
    <w:p w:rsidR="00AD40ED" w:rsidRDefault="00AD40ED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Антитела или конъюгаты гаптенов с белками связываются с частицами ковалентно, а оставшиеся незанятые участки поверхности частиц затем насыщаются балластными белками для уменьшения гидрофобного взаимодействия между частицами.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Специфические эффекты, обусловленные наличием </w:t>
      </w:r>
      <w:r w:rsidRPr="00F172C5">
        <w:rPr>
          <w:rStyle w:val="FontStyle13"/>
          <w:color w:val="000000"/>
          <w:sz w:val="28"/>
          <w:lang w:val="en-US"/>
        </w:rPr>
        <w:t>RF</w:t>
      </w:r>
      <w:r w:rsidRPr="00F172C5">
        <w:rPr>
          <w:rStyle w:val="FontStyle13"/>
          <w:color w:val="000000"/>
          <w:sz w:val="28"/>
        </w:rPr>
        <w:t xml:space="preserve"> или </w:t>
      </w:r>
      <w:r w:rsidRPr="00F172C5">
        <w:rPr>
          <w:rStyle w:val="FontStyle13"/>
          <w:color w:val="000000"/>
          <w:sz w:val="28"/>
          <w:lang w:val="en-US"/>
        </w:rPr>
        <w:t>Clq</w:t>
      </w:r>
      <w:r w:rsidRPr="00F172C5">
        <w:rPr>
          <w:rStyle w:val="FontStyle13"/>
          <w:color w:val="000000"/>
          <w:sz w:val="28"/>
        </w:rPr>
        <w:t xml:space="preserve"> в пробах сыворотки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или антиидиотипических антител в поликлональных антисыворотках, можно устранить различными приемами. Соответствующие примеры представлены на рис. 4 и 5. Схема последовательного устранения различных эффектов в случае пробы неопределенного состава при определении ферритина представлена на рис. 4. Известен ряд операций, позволяющих упростить методики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Во многих случаях, например при определении тироксина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трииодтиронина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поверхностного антигена гепатита В, ^иммуноглобулина Е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 го-надотропина человека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предварительная обработка пробы пепсином устраняет побочные эффекты сыворотки, не разрушая определяемое вещество или превращая его в соединения, сохраняющие иммунологическую активность. На рис. 5 в качестве примера представлена схема определения тиротропина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в которой для устранения влияния белков сыворотки на результаты анализа применен этот подход.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Для повышения скорости реакции все анализы проводят при 37°С в термостате с перемешиванием. Реакцию осуществляют в пробирках 12 х 55 мм, вращающихся со скоростью 1550 об/мин с отклонением от оси вращения на 2,00 мм. Такое перемешивание обеспечивает необходимую частоту столкновений и ориентацию комплексов частиц с определяемым веществом по отношению к не-прореагировавшим частицам, в результате чего образуются термодинамически более устойчивые ассоциаты. При использовании по-ликлональной антисыворотки такое перемешивание может повысить специфичность антител путем разрушения неустойчивых ас-социатов, образующихся в результате перекрестных реакций.</w:t>
      </w:r>
    </w:p>
    <w:p w:rsid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</w:p>
    <w:p w:rsidR="00B43259" w:rsidRP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>
        <w:rPr>
          <w:rStyle w:val="FontStyle19"/>
          <w:color w:val="000000"/>
          <w:sz w:val="28"/>
        </w:rPr>
        <w:t>3.</w:t>
      </w:r>
      <w:r w:rsidR="00B43259" w:rsidRPr="00F172C5">
        <w:rPr>
          <w:rStyle w:val="FontStyle19"/>
          <w:color w:val="000000"/>
          <w:sz w:val="28"/>
        </w:rPr>
        <w:t xml:space="preserve"> ПРИМЕНЕНИЕ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Иммуноанализ с подсчетом частиц находит все более широкое применение. Уже опубликовано более 80 работ, а также подробный обзор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Некоторые вещества, определяемые с помощью иммуноанализа с подсчетом частиц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Определяемое вещество</w:t>
      </w:r>
    </w:p>
    <w:p w:rsidR="00B43259" w:rsidRPr="00F172C5" w:rsidRDefault="00B43259" w:rsidP="00F172C5">
      <w:pPr>
        <w:pStyle w:val="Style6"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 xml:space="preserve">Поливалентные антигены: Альфа-фетопротеин С-реактивный белок Ферритин Лактоферрнн </w:t>
      </w:r>
      <w:r w:rsidRPr="00F172C5">
        <w:rPr>
          <w:rStyle w:val="FontStyle16"/>
          <w:color w:val="000000"/>
          <w:spacing w:val="0"/>
          <w:sz w:val="28"/>
          <w:lang w:val="en-US"/>
        </w:rPr>
        <w:t>S</w:t>
      </w:r>
      <w:r w:rsidRPr="00F172C5">
        <w:rPr>
          <w:rStyle w:val="FontStyle16"/>
          <w:color w:val="000000"/>
          <w:spacing w:val="0"/>
          <w:sz w:val="28"/>
        </w:rPr>
        <w:t>-100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Специфический гликопротеин</w:t>
      </w:r>
      <w:r w:rsidR="00B0518A" w:rsidRPr="00F172C5">
        <w:rPr>
          <w:rStyle w:val="FontStyle16"/>
          <w:color w:val="000000"/>
          <w:spacing w:val="0"/>
          <w:sz w:val="28"/>
        </w:rPr>
        <w:t xml:space="preserve"> </w:t>
      </w:r>
      <w:r w:rsidRPr="00F172C5">
        <w:rPr>
          <w:rStyle w:val="FontStyle16"/>
          <w:color w:val="000000"/>
          <w:spacing w:val="0"/>
          <w:sz w:val="28"/>
        </w:rPr>
        <w:t>на беременность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  <w:lang w:eastAsia="en-US"/>
        </w:rPr>
      </w:pPr>
      <w:r w:rsidRPr="00F172C5">
        <w:rPr>
          <w:rStyle w:val="FontStyle16"/>
          <w:color w:val="000000"/>
          <w:spacing w:val="0"/>
          <w:sz w:val="28"/>
          <w:lang w:val="en-US" w:eastAsia="en-US"/>
        </w:rPr>
        <w:t>IgE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  <w:lang w:eastAsia="en-US"/>
        </w:rPr>
      </w:pPr>
      <w:r w:rsidRPr="00F172C5">
        <w:rPr>
          <w:rStyle w:val="FontStyle16"/>
          <w:color w:val="000000"/>
          <w:spacing w:val="0"/>
          <w:sz w:val="28"/>
          <w:lang w:val="en-US" w:eastAsia="en-US"/>
        </w:rPr>
        <w:t>IgA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  <w:lang w:eastAsia="en-US"/>
        </w:rPr>
      </w:pPr>
      <w:r w:rsidRPr="00F172C5">
        <w:rPr>
          <w:rStyle w:val="FontStyle16"/>
          <w:color w:val="000000"/>
          <w:spacing w:val="0"/>
          <w:sz w:val="28"/>
          <w:lang w:val="en-US" w:eastAsia="en-US"/>
        </w:rPr>
        <w:t>IgM</w:t>
      </w:r>
    </w:p>
    <w:p w:rsidR="00B43259" w:rsidRPr="00F172C5" w:rsidRDefault="00B43259" w:rsidP="00F172C5">
      <w:pPr>
        <w:pStyle w:val="Style5"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 xml:space="preserve">Подклассы </w:t>
      </w:r>
      <w:r w:rsidRPr="00F172C5">
        <w:rPr>
          <w:rStyle w:val="FontStyle16"/>
          <w:color w:val="000000"/>
          <w:spacing w:val="0"/>
          <w:sz w:val="28"/>
          <w:lang w:val="en-US"/>
        </w:rPr>
        <w:t>IgG</w:t>
      </w:r>
      <w:r w:rsidRPr="00F172C5">
        <w:rPr>
          <w:rStyle w:val="FontStyle16"/>
          <w:color w:val="000000"/>
          <w:spacing w:val="0"/>
          <w:sz w:val="28"/>
        </w:rPr>
        <w:t xml:space="preserve"> й </w:t>
      </w:r>
      <w:r w:rsidRPr="00F172C5">
        <w:rPr>
          <w:rStyle w:val="FontStyle16"/>
          <w:color w:val="000000"/>
          <w:spacing w:val="0"/>
          <w:sz w:val="28"/>
          <w:lang w:val="en-US"/>
        </w:rPr>
        <w:t>IgA</w:t>
      </w:r>
      <w:r w:rsidRPr="00F172C5">
        <w:rPr>
          <w:rStyle w:val="FontStyle16"/>
          <w:color w:val="000000"/>
          <w:spacing w:val="0"/>
          <w:sz w:val="28"/>
        </w:rPr>
        <w:t xml:space="preserve"> Тироксинсвязывающий глобулин Тироглобулин Тиротропный гормон Плацентарный лактогеи человека /</w:t>
      </w:r>
      <w:r w:rsidRPr="00F172C5">
        <w:rPr>
          <w:rStyle w:val="FontStyle16"/>
          <w:color w:val="000000"/>
          <w:spacing w:val="0"/>
          <w:sz w:val="28"/>
          <w:lang w:val="en-US"/>
        </w:rPr>
        <w:t>J</w:t>
      </w:r>
      <w:r w:rsidRPr="00F172C5">
        <w:rPr>
          <w:rStyle w:val="FontStyle16"/>
          <w:color w:val="000000"/>
          <w:spacing w:val="0"/>
          <w:sz w:val="28"/>
        </w:rPr>
        <w:t>-Субъединица хориогоиадотропина человека /</w:t>
      </w:r>
      <w:r w:rsidRPr="00F172C5">
        <w:rPr>
          <w:rStyle w:val="FontStyle16"/>
          <w:color w:val="000000"/>
          <w:spacing w:val="0"/>
          <w:sz w:val="28"/>
          <w:lang w:val="en-US"/>
        </w:rPr>
        <w:t>J</w:t>
      </w:r>
      <w:r w:rsidRPr="00F172C5">
        <w:rPr>
          <w:rStyle w:val="FontStyle16"/>
          <w:color w:val="000000"/>
          <w:spacing w:val="0"/>
          <w:sz w:val="28"/>
        </w:rPr>
        <w:t xml:space="preserve">-Микроглобулин Ретинолсвязьшающия белок Кансулярный антиген </w:t>
      </w:r>
      <w:r w:rsidRPr="00F172C5">
        <w:rPr>
          <w:rStyle w:val="FontStyle17"/>
          <w:color w:val="000000"/>
          <w:spacing w:val="0"/>
          <w:sz w:val="28"/>
        </w:rPr>
        <w:t>Н.</w:t>
      </w:r>
      <w:r w:rsidRPr="00F172C5">
        <w:rPr>
          <w:rStyle w:val="FontStyle17"/>
          <w:color w:val="000000"/>
          <w:spacing w:val="0"/>
          <w:sz w:val="28"/>
          <w:lang w:val="en-US"/>
        </w:rPr>
        <w:t>influenzae</w:t>
      </w:r>
      <w:r w:rsidR="00B0518A"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6"/>
          <w:color w:val="000000"/>
          <w:spacing w:val="0"/>
          <w:sz w:val="28"/>
        </w:rPr>
        <w:t xml:space="preserve">Капсулярные антигены </w:t>
      </w:r>
      <w:r w:rsidRPr="00F172C5">
        <w:rPr>
          <w:rStyle w:val="FontStyle17"/>
          <w:color w:val="000000"/>
          <w:spacing w:val="0"/>
          <w:sz w:val="28"/>
          <w:lang w:val="en-US"/>
        </w:rPr>
        <w:t>Streptococcus</w:t>
      </w:r>
      <w:r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7"/>
          <w:color w:val="000000"/>
          <w:spacing w:val="0"/>
          <w:sz w:val="28"/>
          <w:lang w:val="en-US"/>
        </w:rPr>
        <w:t>pneumoniae</w:t>
      </w:r>
      <w:r w:rsidR="00B0518A"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6"/>
          <w:color w:val="000000"/>
          <w:spacing w:val="0"/>
          <w:sz w:val="28"/>
        </w:rPr>
        <w:t xml:space="preserve">Антигены </w:t>
      </w:r>
      <w:r w:rsidRPr="00F172C5">
        <w:rPr>
          <w:rStyle w:val="FontStyle17"/>
          <w:color w:val="000000"/>
          <w:spacing w:val="0"/>
          <w:sz w:val="28"/>
          <w:lang w:val="en-US"/>
        </w:rPr>
        <w:t>Streptococcus</w:t>
      </w:r>
      <w:r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7"/>
          <w:color w:val="000000"/>
          <w:spacing w:val="0"/>
          <w:sz w:val="28"/>
          <w:lang w:val="en-US"/>
        </w:rPr>
        <w:t>haemofyueus</w:t>
      </w:r>
      <w:r w:rsidR="00B0518A"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6"/>
          <w:color w:val="000000"/>
          <w:spacing w:val="0"/>
          <w:sz w:val="28"/>
        </w:rPr>
        <w:t>Моновалентные антигены: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Тироксин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Тринодтиронин</w:t>
      </w:r>
    </w:p>
    <w:p w:rsidR="00B43259" w:rsidRPr="00F172C5" w:rsidRDefault="00B43259" w:rsidP="00F172C5">
      <w:pPr>
        <w:pStyle w:val="Style9"/>
        <w:spacing w:line="360" w:lineRule="auto"/>
        <w:ind w:firstLine="709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Дигоксин</w:t>
      </w:r>
    </w:p>
    <w:p w:rsidR="00B43259" w:rsidRPr="00F172C5" w:rsidRDefault="00B43259" w:rsidP="00F172C5">
      <w:pPr>
        <w:pStyle w:val="Style6"/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 xml:space="preserve">Антитела: Ревматоидный фактор Блокирующие антитела против яда пчел Антитела против </w:t>
      </w:r>
      <w:r w:rsidRPr="00F172C5">
        <w:rPr>
          <w:rStyle w:val="FontStyle17"/>
          <w:color w:val="000000"/>
          <w:spacing w:val="0"/>
          <w:sz w:val="28"/>
          <w:lang w:val="en-US"/>
        </w:rPr>
        <w:t>Brucella</w:t>
      </w:r>
      <w:r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7"/>
          <w:color w:val="000000"/>
          <w:spacing w:val="0"/>
          <w:sz w:val="28"/>
          <w:lang w:val="en-US"/>
        </w:rPr>
        <w:t>abortus</w:t>
      </w:r>
      <w:r w:rsidRPr="00F172C5">
        <w:rPr>
          <w:rStyle w:val="FontStyle17"/>
          <w:color w:val="000000"/>
          <w:spacing w:val="0"/>
          <w:sz w:val="28"/>
        </w:rPr>
        <w:t xml:space="preserve"> </w:t>
      </w:r>
      <w:r w:rsidRPr="00F172C5">
        <w:rPr>
          <w:rStyle w:val="FontStyle16"/>
          <w:color w:val="000000"/>
          <w:spacing w:val="0"/>
          <w:sz w:val="28"/>
        </w:rPr>
        <w:t xml:space="preserve">Специфические антитела </w:t>
      </w:r>
      <w:r w:rsidRPr="00F172C5">
        <w:rPr>
          <w:rStyle w:val="FontStyle16"/>
          <w:color w:val="000000"/>
          <w:spacing w:val="0"/>
          <w:sz w:val="28"/>
          <w:lang w:val="en-US"/>
        </w:rPr>
        <w:t>IgE</w:t>
      </w:r>
      <w:r w:rsidRPr="00F172C5">
        <w:rPr>
          <w:rStyle w:val="FontStyle16"/>
          <w:color w:val="000000"/>
          <w:spacing w:val="0"/>
          <w:sz w:val="28"/>
        </w:rPr>
        <w:t xml:space="preserve"> Антитела против основного белка миелина Антитела против тироглобулина Антитела против столбняка Антитела против простого иируса герпеса типа 1</w:t>
      </w:r>
    </w:p>
    <w:p w:rsidR="00F172C5" w:rsidRDefault="00B43259" w:rsidP="00F172C5">
      <w:pPr>
        <w:pStyle w:val="Style6"/>
        <w:tabs>
          <w:tab w:val="left" w:leader="underscore" w:pos="4694"/>
        </w:tabs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Иммунные комплексы:</w:t>
      </w:r>
    </w:p>
    <w:p w:rsidR="00F172C5" w:rsidRDefault="00B43259" w:rsidP="00F172C5">
      <w:pPr>
        <w:pStyle w:val="Style6"/>
        <w:tabs>
          <w:tab w:val="left" w:leader="underscore" w:pos="4694"/>
        </w:tabs>
        <w:spacing w:line="360" w:lineRule="auto"/>
        <w:ind w:firstLine="709"/>
        <w:jc w:val="both"/>
        <w:rPr>
          <w:rStyle w:val="FontStyle16"/>
          <w:color w:val="000000"/>
          <w:spacing w:val="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>Обнаружение с ревматоидным фактором</w:t>
      </w:r>
    </w:p>
    <w:p w:rsidR="00F172C5" w:rsidRPr="00F172C5" w:rsidRDefault="00B43259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6"/>
          <w:color w:val="000000"/>
          <w:spacing w:val="0"/>
          <w:sz w:val="28"/>
        </w:rPr>
        <w:t xml:space="preserve">Обнаружение с мышиными </w:t>
      </w:r>
      <w:r w:rsidRPr="00F172C5">
        <w:rPr>
          <w:rStyle w:val="FontStyle16"/>
          <w:color w:val="000000"/>
          <w:spacing w:val="0"/>
          <w:sz w:val="28"/>
          <w:lang w:val="en-US"/>
        </w:rPr>
        <w:t>Clq</w:t>
      </w:r>
      <w:r w:rsidR="00F172C5">
        <w:rPr>
          <w:rStyle w:val="FontStyle16"/>
          <w:color w:val="000000"/>
          <w:spacing w:val="0"/>
          <w:sz w:val="28"/>
        </w:rPr>
        <w:t>-</w:t>
      </w:r>
      <w:r w:rsidR="00F172C5" w:rsidRPr="00F172C5">
        <w:rPr>
          <w:rStyle w:val="FontStyle13"/>
          <w:color w:val="000000"/>
          <w:sz w:val="28"/>
        </w:rPr>
        <w:t>ков, гаптенов, антител и иммунных комплексов, определяемых этим методом. В настоящее время тринадцать наборов реагентов для выполнения таких анализов производятся в промышленном маштабе и поступают в продажу.</w:t>
      </w:r>
    </w:p>
    <w:p w:rsidR="00B43259" w:rsidRPr="00F172C5" w:rsidRDefault="00AD40ED" w:rsidP="00AD40ED">
      <w:pPr>
        <w:pStyle w:val="Style6"/>
        <w:tabs>
          <w:tab w:val="left" w:leader="underscore" w:pos="469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FontStyle16"/>
          <w:color w:val="000000"/>
          <w:spacing w:val="0"/>
          <w:sz w:val="28"/>
        </w:rPr>
        <w:br w:type="page"/>
      </w:r>
      <w:r w:rsidR="00B014D6">
        <w:rPr>
          <w:color w:val="000000"/>
          <w:sz w:val="28"/>
        </w:rPr>
        <w:pict>
          <v:shape id="_x0000_i1030" type="#_x0000_t75" style="width:324.75pt;height:192pt">
            <v:imagedata r:id="rId12" o:title=""/>
          </v:shape>
        </w:pict>
      </w:r>
    </w:p>
    <w:p w:rsid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</w:p>
    <w:p w:rsidR="00B43259" w:rsidRP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>
        <w:rPr>
          <w:rStyle w:val="FontStyle19"/>
          <w:color w:val="000000"/>
          <w:sz w:val="28"/>
        </w:rPr>
        <w:t>4</w:t>
      </w:r>
      <w:r w:rsidR="00B43259" w:rsidRPr="00F172C5">
        <w:rPr>
          <w:rStyle w:val="FontStyle19"/>
          <w:color w:val="000000"/>
          <w:sz w:val="28"/>
        </w:rPr>
        <w:t>. НОВЫЕ ОБЛАСТИ ПРИМЕНЕНИЯ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В этом разделе будут рассмотрены не публиковавшиеся ранее результаты двух исследований, иллюстрирующие возможности и эффективность метода. Детали этих исследований будут вскоре опубликованы. В первом исследовании для изучения развития инфекции </w:t>
      </w:r>
      <w:r w:rsidRPr="00F172C5">
        <w:rPr>
          <w:rStyle w:val="FontStyle18"/>
          <w:color w:val="000000"/>
          <w:spacing w:val="0"/>
          <w:sz w:val="28"/>
          <w:lang w:val="en-US"/>
        </w:rPr>
        <w:t>Brucella</w:t>
      </w:r>
      <w:r w:rsidRPr="00F172C5">
        <w:rPr>
          <w:rStyle w:val="FontStyle18"/>
          <w:color w:val="000000"/>
          <w:spacing w:val="0"/>
          <w:sz w:val="28"/>
        </w:rPr>
        <w:t xml:space="preserve"> </w:t>
      </w:r>
      <w:r w:rsidRPr="00F172C5">
        <w:rPr>
          <w:rStyle w:val="FontStyle18"/>
          <w:color w:val="000000"/>
          <w:spacing w:val="0"/>
          <w:sz w:val="28"/>
          <w:lang w:val="en-US"/>
        </w:rPr>
        <w:t>arbortus</w:t>
      </w:r>
      <w:r w:rsidR="00B0518A" w:rsidRPr="00F172C5">
        <w:rPr>
          <w:rStyle w:val="FontStyle18"/>
          <w:color w:val="000000"/>
          <w:spacing w:val="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подопытных животных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заражали этими организмами и забивали партиями по четыре мыши через определенные промежутки времени. Как показано на рис. 6, основным критерием развития инфекции может служить число образующихся колоний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Параллельно по степени ин-гибирующей активности определяли липополисахаридные антигены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а также циркулирующие иммунные комплексы и суммарное количество антител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Нетрудно видеть, что между </w:t>
      </w:r>
      <w:r w:rsidRPr="00F172C5">
        <w:rPr>
          <w:rStyle w:val="FontStyle13"/>
          <w:color w:val="000000"/>
          <w:sz w:val="28"/>
          <w:lang w:val="en-US"/>
        </w:rPr>
        <w:t>CFU</w:t>
      </w:r>
      <w:r w:rsidRPr="00F172C5">
        <w:rPr>
          <w:rStyle w:val="FontStyle13"/>
          <w:color w:val="000000"/>
          <w:sz w:val="28"/>
        </w:rPr>
        <w:t xml:space="preserve"> и количеством </w:t>
      </w:r>
      <w:r w:rsidRPr="00F172C5">
        <w:rPr>
          <w:rStyle w:val="FontStyle13"/>
          <w:color w:val="000000"/>
          <w:sz w:val="28"/>
          <w:lang w:val="en-US"/>
        </w:rPr>
        <w:t>LPS</w:t>
      </w:r>
      <w:r w:rsidRPr="00F172C5">
        <w:rPr>
          <w:rStyle w:val="FontStyle13"/>
          <w:color w:val="000000"/>
          <w:sz w:val="28"/>
        </w:rPr>
        <w:t>-антигенов существует хорошая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корреляция. Увеличение во времени концентрации антител и циркулирующих иммунных комплексов определяет иммунный статус. Эти исследования в настоящее время переносятся на крупный рогатый скот и на человека с тем, чтобы результаты можно было использовать в диагностике и при лечении.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Во втором исследовании показана возможность применения метода для измерения очень низких концентраций белков. В тиро-идной эндокринологии постоянно ощущается потребность в высокочувствительных методиках определения тироидстимулирующего гормона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Такие методики позволяли бы надежно отличать больных тиротоксикозом, а также микседемой от здоровых людей. Более того, при острых эутотироидных синдромах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такие методики менее проблематичны, чем определение свободного тироксина, поскольку на их результаты не влияют посторонние вещества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часто присутствующие в сыворотке больных, страдающих этими заболеваниями.</w:t>
      </w: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На рис. 8 представлена схема первого гомогенного высокочувствительного метода определения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; благодаря одночасовой инкубации это самый быстрый из описанных до настоящего времени методов определения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 в сыворотке человека. В нем используются два типа моноклональных антител на различных латексах</w:t>
      </w:r>
      <w:r w:rsidR="00B0518A"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</w:rPr>
        <w:t xml:space="preserve"> Предел обнаружения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 калибровочная кривая представлены на рис. 9.</w:t>
      </w: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Предварительные результаты исследования сыворотки группы здоровых людей и группы больных тиротоксикозом представлены на рис. 10. Результаты анализа позволяют четко различить эти две группы. В гипертироидной группе оказался один пациент с Т</w:t>
      </w:r>
      <w:r w:rsidRPr="00F172C5">
        <w:rPr>
          <w:rStyle w:val="FontStyle13"/>
          <w:color w:val="000000"/>
          <w:sz w:val="28"/>
          <w:vertAlign w:val="subscript"/>
        </w:rPr>
        <w:t>3</w:t>
      </w:r>
      <w:r w:rsidRPr="00F172C5">
        <w:rPr>
          <w:rStyle w:val="FontStyle13"/>
          <w:color w:val="000000"/>
          <w:sz w:val="28"/>
        </w:rPr>
        <w:t xml:space="preserve">-токсикозом, у которого концентрация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 превысила предел обнаружения. Тироидный статус этого пациента точно неизвестен.</w:t>
      </w:r>
    </w:p>
    <w:p w:rsidR="00AD40ED" w:rsidRPr="00F172C5" w:rsidRDefault="00AD40ED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243.75pt;height:202.5pt">
            <v:imagedata r:id="rId13" o:title=""/>
          </v:shape>
        </w:pict>
      </w:r>
    </w:p>
    <w:p w:rsidR="00B43259" w:rsidRPr="00F172C5" w:rsidRDefault="00AD40ED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014D6">
        <w:rPr>
          <w:color w:val="000000"/>
          <w:sz w:val="28"/>
        </w:rPr>
        <w:pict>
          <v:shape id="_x0000_i1032" type="#_x0000_t75" style="width:239.25pt;height:219pt">
            <v:imagedata r:id="rId14" o:title=""/>
          </v:shape>
        </w:pict>
      </w:r>
    </w:p>
    <w:p w:rsidR="00AD40ED" w:rsidRDefault="00AD40ED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4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Аналогичные результаты определения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 позднее были получены методом радиоиммуноанализа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с набором реагентов </w:t>
      </w:r>
      <w:r w:rsidRPr="00F172C5">
        <w:rPr>
          <w:rStyle w:val="FontStyle13"/>
          <w:color w:val="000000"/>
          <w:sz w:val="28"/>
          <w:lang w:val="en-US"/>
        </w:rPr>
        <w:t>Behring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HS</w:t>
      </w:r>
      <w:r w:rsidRPr="00F172C5">
        <w:rPr>
          <w:rStyle w:val="FontStyle13"/>
          <w:color w:val="000000"/>
          <w:sz w:val="28"/>
        </w:rPr>
        <w:t>-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>. Вероятно, этот пациент ошибочно был включен в группу больных тиротоксикозом.</w:t>
      </w:r>
    </w:p>
    <w:p w:rsid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</w:p>
    <w:p w:rsidR="00B43259" w:rsidRP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>
        <w:rPr>
          <w:rStyle w:val="FontStyle19"/>
          <w:color w:val="000000"/>
          <w:sz w:val="28"/>
        </w:rPr>
        <w:t>5</w:t>
      </w:r>
      <w:r w:rsidR="00B43259" w:rsidRPr="00F172C5">
        <w:rPr>
          <w:rStyle w:val="FontStyle19"/>
          <w:color w:val="000000"/>
          <w:sz w:val="28"/>
        </w:rPr>
        <w:t>. ЧУВСТВИТЕЛЬНОСТЬ МЕТОДА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Из приведенных выше данных видно, что определение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 в сыворотке человека с помощью метода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позволяет в 10 -1000 раз повысить чувствительность по сравнению с турбидимет-рическим иммуноанализом с латексной агглютинацией. По чувствительности описанный метод сравним с иммунорадиометрическим анализом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 превосходит флуоресцентный, хемилюминес-центный или ферментный иммунометрические методы анализа.</w:t>
      </w: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Как показано на рис. 11, в методе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-используется избыток антител. Однако по своим характеристикам метод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располагается скорее между собственно иммунометриче-скими методами и конкурентным иммуноанализом, причем связывание антигена с антителом, возможно, усиливается за счет множества слабых взаимодействий</w:t>
      </w:r>
      <w:r w:rsidR="00B0518A" w:rsidRPr="00F172C5">
        <w:rPr>
          <w:rStyle w:val="FontStyle13"/>
          <w:color w:val="000000"/>
          <w:sz w:val="28"/>
        </w:rPr>
        <w:t>.</w:t>
      </w:r>
    </w:p>
    <w:p w:rsidR="00B43259" w:rsidRPr="00F172C5" w:rsidRDefault="00AD40ED" w:rsidP="00AD40ED">
      <w:pPr>
        <w:pStyle w:val="Style3"/>
        <w:spacing w:line="360" w:lineRule="auto"/>
        <w:ind w:firstLine="709"/>
        <w:rPr>
          <w:color w:val="000000"/>
          <w:sz w:val="28"/>
          <w:szCs w:val="2"/>
        </w:rPr>
      </w:pPr>
      <w:r>
        <w:rPr>
          <w:rStyle w:val="FontStyle13"/>
          <w:color w:val="000000"/>
          <w:sz w:val="28"/>
        </w:rPr>
        <w:br w:type="page"/>
      </w:r>
      <w:r w:rsidR="00B014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45pt;margin-top:190pt;width:155.55pt;height:126.4pt;z-index:251658240;mso-wrap-style:none;mso-wrap-edited:f;mso-wrap-distance-left:7in;mso-wrap-distance-right:7in;mso-position-horizontal-relative:margin" filled="f" stroked="f">
            <v:textbox style="mso-next-textbox:#_x0000_s1026;mso-fit-shape-to-text:t" inset="0,0,0,0">
              <w:txbxContent>
                <w:p w:rsidR="00AD40ED" w:rsidRDefault="00B014D6" w:rsidP="00AD40ED">
                  <w:pPr>
                    <w:widowControl/>
                  </w:pPr>
                  <w:r>
                    <w:pict>
                      <v:shape id="_x0000_i1034" type="#_x0000_t75" style="width:155.25pt;height:126.75pt">
                        <v:imagedata r:id="rId15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B014D6">
        <w:rPr>
          <w:noProof/>
        </w:rPr>
        <w:pict>
          <v:shape id="_x0000_s1027" type="#_x0000_t202" style="position:absolute;left:0;text-align:left;margin-left:0;margin-top:0;width:208.9pt;height:161.3pt;z-index:251657216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B43259" w:rsidRDefault="00B014D6">
                  <w:pPr>
                    <w:widowControl/>
                  </w:pPr>
                  <w:r>
                    <w:pict>
                      <v:shape id="_x0000_i1036" type="#_x0000_t75" style="width:209.25pt;height:161.25pt">
                        <v:imagedata r:id="rId1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B43259" w:rsidRDefault="00B43259" w:rsidP="00F172C5">
      <w:pPr>
        <w:spacing w:line="360" w:lineRule="auto"/>
        <w:ind w:firstLine="709"/>
        <w:jc w:val="both"/>
        <w:rPr>
          <w:color w:val="000000"/>
          <w:sz w:val="28"/>
        </w:rPr>
      </w:pPr>
    </w:p>
    <w:p w:rsidR="00AD40ED" w:rsidRDefault="00B014D6" w:rsidP="00F172C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173.25pt;height:120pt">
            <v:imagedata r:id="rId17" o:title=""/>
          </v:shape>
        </w:pict>
      </w:r>
    </w:p>
    <w:p w:rsidR="00AD40ED" w:rsidRDefault="00AD40ED" w:rsidP="00F172C5">
      <w:pPr>
        <w:spacing w:line="360" w:lineRule="auto"/>
        <w:ind w:firstLine="709"/>
        <w:jc w:val="both"/>
        <w:rPr>
          <w:color w:val="000000"/>
          <w:sz w:val="28"/>
        </w:rPr>
      </w:pP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Физические основы метода сложны и пока еще не до конца изучены. Чувствительность анализа определяется: 1) числом частиц, 2) поверхностной плотностью антител или антигена, 3) константой связывания антител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4) возможно, псевдоконстантой связывания антител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5) погрешностью Пуассона при подсчете частиц в потоке, проходящем через ячейку.</w:t>
      </w:r>
    </w:p>
    <w:p w:rsidR="00AD40ED" w:rsidRDefault="00C1557F" w:rsidP="00F172C5">
      <w:pPr>
        <w:pStyle w:val="Style3"/>
        <w:spacing w:line="360" w:lineRule="auto"/>
        <w:ind w:firstLine="709"/>
        <w:rPr>
          <w:color w:val="000000"/>
          <w:sz w:val="28"/>
        </w:rPr>
      </w:pPr>
      <w:r>
        <w:rPr>
          <w:rStyle w:val="FontStyle13"/>
          <w:color w:val="000000"/>
          <w:sz w:val="28"/>
        </w:rPr>
        <w:br w:type="page"/>
      </w:r>
      <w:r w:rsidR="00B014D6">
        <w:rPr>
          <w:color w:val="000000"/>
          <w:sz w:val="28"/>
        </w:rPr>
        <w:pict>
          <v:shape id="_x0000_i1038" type="#_x0000_t75" style="width:305.25pt;height:163.5pt">
            <v:imagedata r:id="rId18" o:title=""/>
          </v:shape>
        </w:pict>
      </w:r>
    </w:p>
    <w:p w:rsidR="00AD40ED" w:rsidRDefault="00AD40ED" w:rsidP="00F172C5">
      <w:pPr>
        <w:pStyle w:val="Style3"/>
        <w:spacing w:line="360" w:lineRule="auto"/>
        <w:ind w:firstLine="709"/>
        <w:rPr>
          <w:color w:val="000000"/>
          <w:sz w:val="28"/>
        </w:rPr>
      </w:pPr>
    </w:p>
    <w:p w:rsidR="00B43259" w:rsidRPr="00F172C5" w:rsidRDefault="00B43259" w:rsidP="00AD40ED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Чувствительность метода можно увеличить примерно в 100 раз, если подсчитывать агглютинированные частицы. При этом должна также устраняться компонента погрешности Пуассона,</w:t>
      </w:r>
      <w:r w:rsidR="00AD40ED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обусловленная фоном неагглютинированных частиц. Подсчет агглютинированных частиц довольно сложен. Относительное содержание определяемых димеров, тримеров, тетрамеров и высших олиго-меров зависит от природы изучаемого вещества и от его концентрации. Прототип детектора с высокой разрешающей способностью разработан фирмой </w:t>
      </w:r>
      <w:r w:rsidRPr="00F172C5">
        <w:rPr>
          <w:rStyle w:val="FontStyle13"/>
          <w:color w:val="000000"/>
          <w:sz w:val="28"/>
          <w:lang w:val="en-US"/>
        </w:rPr>
        <w:t>Acade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Diagnostic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Systems</w:t>
      </w:r>
      <w:r w:rsidRPr="00F172C5">
        <w:rPr>
          <w:rStyle w:val="FontStyle13"/>
          <w:color w:val="000000"/>
          <w:sz w:val="28"/>
        </w:rPr>
        <w:t xml:space="preserve"> и предназначен для определения альфа-фетопротеина методом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>. Для решения проблемы сложного характера агглютинации детектор, функционируя в кинетическом режиме, определял только димер. Таким путем всего за 4 мин удалось с высокой чувствительностью определить концентрацию димера прежде, чем успели образоваться заметные количества высших олигомеров.</w:t>
      </w:r>
    </w:p>
    <w:p w:rsidR="00B43259" w:rsidRPr="00F172C5" w:rsidRDefault="00B43259" w:rsidP="00F172C5">
      <w:pPr>
        <w:pStyle w:val="Style2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B43259" w:rsidRPr="00F172C5" w:rsidRDefault="00F172C5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>
        <w:rPr>
          <w:rStyle w:val="FontStyle19"/>
          <w:color w:val="000000"/>
          <w:sz w:val="28"/>
        </w:rPr>
        <w:t>6</w:t>
      </w:r>
      <w:r w:rsidR="00B43259" w:rsidRPr="00F172C5">
        <w:rPr>
          <w:rStyle w:val="FontStyle19"/>
          <w:color w:val="000000"/>
          <w:sz w:val="28"/>
        </w:rPr>
        <w:t>. ПЕРСПЕКТИВЫ РАЗВИТИЯ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Система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находится в такой стадии развития, когда уже создана прочная основа для дальнейшего совершенствования путем расширения круга определяемых веществ и разнообразия методик. </w:t>
      </w:r>
      <w:r w:rsidRPr="00F172C5">
        <w:rPr>
          <w:rStyle w:val="FontStyle19"/>
          <w:color w:val="000000"/>
          <w:sz w:val="28"/>
        </w:rPr>
        <w:t xml:space="preserve">В </w:t>
      </w:r>
      <w:r w:rsidRPr="00F172C5">
        <w:rPr>
          <w:rStyle w:val="FontStyle13"/>
          <w:color w:val="000000"/>
          <w:sz w:val="28"/>
        </w:rPr>
        <w:t>этом контексте вырисовываются три основных пути развития системы: 1) определение новых веществ, 2) совершенствование химических процессов, 3) совершенствование приборов.</w:t>
      </w:r>
    </w:p>
    <w:p w:rsidR="00B43259" w:rsidRPr="00F172C5" w:rsidRDefault="00B43259" w:rsidP="00F172C5">
      <w:pPr>
        <w:pStyle w:val="Style8"/>
        <w:tabs>
          <w:tab w:val="left" w:pos="1248"/>
        </w:tabs>
        <w:spacing w:line="360" w:lineRule="auto"/>
        <w:ind w:firstLine="709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t xml:space="preserve">Определение новых веществ. </w:t>
      </w:r>
      <w:r w:rsidRPr="00F172C5">
        <w:rPr>
          <w:rStyle w:val="FontStyle13"/>
          <w:color w:val="000000"/>
          <w:sz w:val="28"/>
        </w:rPr>
        <w:t>Широкая сфера применения метода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позволяет использовать его для определения практически любого нового вещества. </w:t>
      </w:r>
      <w:r w:rsidRPr="00F172C5">
        <w:rPr>
          <w:rStyle w:val="FontStyle19"/>
          <w:color w:val="000000"/>
          <w:sz w:val="28"/>
        </w:rPr>
        <w:t xml:space="preserve">В </w:t>
      </w:r>
      <w:r w:rsidRPr="00F172C5">
        <w:rPr>
          <w:rStyle w:val="FontStyle13"/>
          <w:color w:val="000000"/>
          <w:sz w:val="28"/>
        </w:rPr>
        <w:t>настоящее время разрабатываются методики определения антигенов вируса иммунного дефицита человека и антител к нему, факторов коагуляции, специфических аллергенов. Пока еще не изучалась возможность определения веществ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 xml:space="preserve">с помощью специфических связывающих белков, а не антител. </w:t>
      </w:r>
      <w:r w:rsidRPr="00F172C5">
        <w:rPr>
          <w:rStyle w:val="FontStyle19"/>
          <w:color w:val="000000"/>
          <w:sz w:val="28"/>
        </w:rPr>
        <w:t xml:space="preserve">В </w:t>
      </w:r>
      <w:r w:rsidRPr="00F172C5">
        <w:rPr>
          <w:rStyle w:val="FontStyle13"/>
          <w:color w:val="000000"/>
          <w:sz w:val="28"/>
        </w:rPr>
        <w:t xml:space="preserve">принципе систему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можно использовать и для определения веществ с помощью таких связывающих белков.</w:t>
      </w:r>
    </w:p>
    <w:p w:rsidR="00B43259" w:rsidRPr="00F172C5" w:rsidRDefault="00B43259" w:rsidP="00F172C5">
      <w:pPr>
        <w:pStyle w:val="Style8"/>
        <w:tabs>
          <w:tab w:val="left" w:pos="1248"/>
        </w:tabs>
        <w:spacing w:line="360" w:lineRule="auto"/>
        <w:ind w:firstLine="709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t xml:space="preserve">Совершенствование иммунохимических процессов. </w:t>
      </w:r>
      <w:r w:rsidRPr="00F172C5">
        <w:rPr>
          <w:rStyle w:val="FontStyle13"/>
          <w:color w:val="000000"/>
          <w:sz w:val="28"/>
        </w:rPr>
        <w:t xml:space="preserve">Применение моноклональных антител, например при определении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>, повышает специфичность. Устранить побочные эффекты, связанные с избытком антигена, можно путем соответствующего картирования эпитопов. Ожидается, что метод может найти применение и в молекулярной биологии.</w:t>
      </w:r>
    </w:p>
    <w:p w:rsidR="00B43259" w:rsidRPr="00F172C5" w:rsidRDefault="00B43259" w:rsidP="00F172C5">
      <w:pPr>
        <w:pStyle w:val="Style8"/>
        <w:tabs>
          <w:tab w:val="left" w:pos="1248"/>
        </w:tabs>
        <w:spacing w:line="360" w:lineRule="auto"/>
        <w:ind w:firstLine="709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t xml:space="preserve">Совершенствование приборов. В </w:t>
      </w:r>
      <w:r w:rsidRPr="00F172C5">
        <w:rPr>
          <w:rStyle w:val="FontStyle13"/>
          <w:color w:val="000000"/>
          <w:sz w:val="28"/>
        </w:rPr>
        <w:t xml:space="preserve">середине 1987 г. фирмой </w:t>
      </w:r>
      <w:r w:rsidRPr="00F172C5">
        <w:rPr>
          <w:rStyle w:val="FontStyle13"/>
          <w:color w:val="000000"/>
          <w:sz w:val="28"/>
          <w:lang w:val="en-US"/>
        </w:rPr>
        <w:t>Acade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Diagnostic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System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S</w:t>
      </w:r>
      <w:r w:rsidRPr="00F172C5">
        <w:rPr>
          <w:rStyle w:val="FontStyle13"/>
          <w:color w:val="000000"/>
          <w:sz w:val="28"/>
        </w:rPr>
        <w:t>.</w:t>
      </w:r>
      <w:r w:rsidRPr="00F172C5">
        <w:rPr>
          <w:rStyle w:val="FontStyle13"/>
          <w:color w:val="000000"/>
          <w:sz w:val="28"/>
          <w:lang w:val="en-US"/>
        </w:rPr>
        <w:t>A</w:t>
      </w:r>
      <w:r w:rsidRPr="00F172C5">
        <w:rPr>
          <w:rStyle w:val="FontStyle13"/>
          <w:color w:val="000000"/>
          <w:sz w:val="28"/>
        </w:rPr>
        <w:t xml:space="preserve">. начат выпуск новой компактной модульной полуавтоматической системы </w:t>
      </w:r>
      <w:r w:rsidRPr="00F172C5">
        <w:rPr>
          <w:rStyle w:val="FontStyle13"/>
          <w:color w:val="000000"/>
          <w:sz w:val="28"/>
          <w:lang w:val="en-US"/>
        </w:rPr>
        <w:t>MULTIPACT</w:t>
      </w:r>
      <w:r w:rsidRPr="00F172C5">
        <w:rPr>
          <w:rStyle w:val="FontStyle13"/>
          <w:color w:val="000000"/>
          <w:sz w:val="28"/>
        </w:rPr>
        <w:t>. Она состоит из высокопроизводительного счетчика частиц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термостата</w:t>
      </w:r>
      <w:r w:rsidR="00B0518A"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</w:rPr>
        <w:t>и устройства для добавления и разбавления проб и растворов реагентов. Будут выпускаться также наборы реагентов для определения следующих 6 веществ: Т</w:t>
      </w:r>
      <w:r w:rsidRPr="00F172C5">
        <w:rPr>
          <w:rStyle w:val="FontStyle13"/>
          <w:color w:val="000000"/>
          <w:sz w:val="28"/>
          <w:vertAlign w:val="subscript"/>
        </w:rPr>
        <w:t>4</w:t>
      </w:r>
      <w:r w:rsidRPr="00F172C5">
        <w:rPr>
          <w:rStyle w:val="FontStyle13"/>
          <w:color w:val="000000"/>
          <w:sz w:val="28"/>
        </w:rPr>
        <w:t>, Т</w:t>
      </w:r>
      <w:r w:rsidRPr="00F172C5">
        <w:rPr>
          <w:rStyle w:val="FontStyle13"/>
          <w:color w:val="000000"/>
          <w:sz w:val="28"/>
          <w:vertAlign w:val="subscript"/>
        </w:rPr>
        <w:t>3</w:t>
      </w:r>
      <w:r w:rsidRPr="00F172C5">
        <w:rPr>
          <w:rStyle w:val="FontStyle13"/>
          <w:color w:val="000000"/>
          <w:sz w:val="28"/>
        </w:rPr>
        <w:t>, тирок-синсвязывающего глобулина</w:t>
      </w:r>
      <w:r w:rsidR="00B0518A" w:rsidRPr="00F172C5">
        <w:rPr>
          <w:rStyle w:val="FontStyle13"/>
          <w:color w:val="000000"/>
          <w:sz w:val="28"/>
        </w:rPr>
        <w:t>,</w:t>
      </w:r>
      <w:r w:rsidRPr="00F172C5">
        <w:rPr>
          <w:rStyle w:val="FontStyle13"/>
          <w:color w:val="000000"/>
          <w:sz w:val="28"/>
        </w:rPr>
        <w:t xml:space="preserve">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, дигоксина и </w:t>
      </w:r>
      <w:r w:rsidRPr="00F172C5">
        <w:rPr>
          <w:rStyle w:val="FontStyle13"/>
          <w:color w:val="000000"/>
          <w:sz w:val="28"/>
          <w:lang w:val="en-US"/>
        </w:rPr>
        <w:t>c</w:t>
      </w:r>
      <w:r w:rsidRPr="00F172C5">
        <w:rPr>
          <w:rStyle w:val="FontStyle13"/>
          <w:color w:val="000000"/>
          <w:sz w:val="28"/>
        </w:rPr>
        <w:t>-</w:t>
      </w:r>
      <w:r w:rsidRPr="00F172C5">
        <w:rPr>
          <w:rStyle w:val="FontStyle13"/>
          <w:color w:val="000000"/>
          <w:sz w:val="28"/>
          <w:lang w:val="en-US"/>
        </w:rPr>
        <w:t>hCG</w:t>
      </w:r>
      <w:r w:rsidRPr="00F172C5">
        <w:rPr>
          <w:rStyle w:val="FontStyle13"/>
          <w:color w:val="000000"/>
          <w:sz w:val="28"/>
        </w:rPr>
        <w:t xml:space="preserve">. </w:t>
      </w:r>
      <w:r w:rsidRPr="00F172C5">
        <w:rPr>
          <w:rStyle w:val="FontStyle19"/>
          <w:color w:val="000000"/>
          <w:sz w:val="28"/>
        </w:rPr>
        <w:t xml:space="preserve">В </w:t>
      </w:r>
      <w:r w:rsidRPr="00F172C5">
        <w:rPr>
          <w:rStyle w:val="FontStyle13"/>
          <w:color w:val="000000"/>
          <w:sz w:val="28"/>
        </w:rPr>
        <w:t xml:space="preserve">наборах для определения </w:t>
      </w:r>
      <w:r w:rsidRPr="00F172C5">
        <w:rPr>
          <w:rStyle w:val="FontStyle13"/>
          <w:color w:val="000000"/>
          <w:sz w:val="28"/>
          <w:lang w:val="en-US"/>
        </w:rPr>
        <w:t>TSH</w:t>
      </w:r>
      <w:r w:rsidRPr="00F172C5">
        <w:rPr>
          <w:rStyle w:val="FontStyle13"/>
          <w:color w:val="000000"/>
          <w:sz w:val="28"/>
        </w:rPr>
        <w:t xml:space="preserve"> и /?-</w:t>
      </w:r>
      <w:r w:rsidRPr="00F172C5">
        <w:rPr>
          <w:rStyle w:val="FontStyle13"/>
          <w:color w:val="000000"/>
          <w:sz w:val="28"/>
          <w:lang w:val="en-US"/>
        </w:rPr>
        <w:t>hCG</w:t>
      </w:r>
      <w:r w:rsidRPr="00F172C5">
        <w:rPr>
          <w:rStyle w:val="FontStyle13"/>
          <w:color w:val="000000"/>
          <w:sz w:val="28"/>
        </w:rPr>
        <w:t xml:space="preserve"> используются моноклинальные антитела.</w:t>
      </w:r>
    </w:p>
    <w:p w:rsidR="00B43259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>Аналогичные системы третьего поколения, вероятно, будут обладать большей производительностью, способностью быстро работать в кинетическом режиме и определять агглютинированные частицы.</w:t>
      </w:r>
    </w:p>
    <w:p w:rsidR="00F172C5" w:rsidRP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643899" w:rsidP="00F172C5">
      <w:pPr>
        <w:pStyle w:val="Style2"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 w:rsidRPr="00F172C5">
        <w:rPr>
          <w:rStyle w:val="FontStyle19"/>
          <w:color w:val="000000"/>
          <w:sz w:val="28"/>
        </w:rPr>
        <w:br w:type="page"/>
      </w:r>
      <w:r w:rsidR="00B43259" w:rsidRPr="00F172C5">
        <w:rPr>
          <w:rStyle w:val="FontStyle19"/>
          <w:color w:val="000000"/>
          <w:sz w:val="28"/>
        </w:rPr>
        <w:t>ВЫВОДЫ</w:t>
      </w:r>
    </w:p>
    <w:p w:rsidR="00F172C5" w:rsidRDefault="00F172C5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</w:p>
    <w:p w:rsidR="00B43259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После сравнительно длительного периода становления иммуноанализ с подсчетом частиц достиг такого состояния, когда </w:t>
      </w:r>
      <w:r w:rsidRPr="00F172C5">
        <w:rPr>
          <w:rStyle w:val="FontStyle19"/>
          <w:color w:val="000000"/>
          <w:sz w:val="28"/>
        </w:rPr>
        <w:t xml:space="preserve">1) </w:t>
      </w:r>
      <w:r w:rsidRPr="00F172C5">
        <w:rPr>
          <w:rStyle w:val="FontStyle13"/>
          <w:color w:val="000000"/>
          <w:sz w:val="28"/>
        </w:rPr>
        <w:t>его чувствительность не уступает чувствительности других лучших конкурентных методов иммуноанализа, 2) на результаты анализа почти не влияют никакие посторонние вещества в пробе, 3) по производительности, дешевизне и степени автоматизации он не имеет себе равных.</w:t>
      </w:r>
    </w:p>
    <w:p w:rsidR="00DB38BD" w:rsidRPr="00F172C5" w:rsidRDefault="00B43259" w:rsidP="00F172C5">
      <w:pPr>
        <w:pStyle w:val="Style3"/>
        <w:spacing w:line="360" w:lineRule="auto"/>
        <w:ind w:firstLine="709"/>
        <w:rPr>
          <w:rStyle w:val="FontStyle13"/>
          <w:color w:val="000000"/>
          <w:sz w:val="28"/>
        </w:rPr>
      </w:pPr>
      <w:r w:rsidRPr="00F172C5">
        <w:rPr>
          <w:rStyle w:val="FontStyle13"/>
          <w:color w:val="000000"/>
          <w:sz w:val="28"/>
        </w:rPr>
        <w:t xml:space="preserve">Современная промышленность способна производить дешевые полуавтоматические приборы, предназначенные для проведения анализов в небольших лабораториях, а также полностью автоматизированные, быстродействующие анализаторы для крупных клиник или контрольных лабораторий. Более того, отдельные операции могут найти применение и в других системах, например в автоматических клинических анализаторах, работающих на принципе регистрации кинетики турбидиметрии. Представляется вполне вероятным, что система </w:t>
      </w:r>
      <w:r w:rsidRPr="00F172C5">
        <w:rPr>
          <w:rStyle w:val="FontStyle13"/>
          <w:color w:val="000000"/>
          <w:sz w:val="28"/>
          <w:lang w:val="en-US"/>
        </w:rPr>
        <w:t>IMPACT</w:t>
      </w:r>
      <w:r w:rsidRPr="00F172C5">
        <w:rPr>
          <w:rStyle w:val="FontStyle13"/>
          <w:color w:val="000000"/>
          <w:sz w:val="28"/>
        </w:rPr>
        <w:t xml:space="preserve"> или какой-либо ее аналог сыграют одну из важнейших ролей при переходе к методам иммуноанализа без применения радиоактивных изотопов как в клинической диагностике, так и в научных исследованиях.</w:t>
      </w:r>
      <w:bookmarkStart w:id="0" w:name="_GoBack"/>
      <w:bookmarkEnd w:id="0"/>
    </w:p>
    <w:sectPr w:rsidR="00DB38BD" w:rsidRPr="00F172C5" w:rsidSect="00F172C5">
      <w:type w:val="nextColumn"/>
      <w:pgSz w:w="11906" w:h="16838"/>
      <w:pgMar w:top="1134" w:right="850" w:bottom="1134" w:left="1701" w:header="697" w:footer="69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58" w:rsidRDefault="00DA1958">
      <w:r>
        <w:separator/>
      </w:r>
    </w:p>
  </w:endnote>
  <w:endnote w:type="continuationSeparator" w:id="0">
    <w:p w:rsidR="00DA1958" w:rsidRDefault="00DA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58" w:rsidRDefault="00DA1958">
      <w:r>
        <w:separator/>
      </w:r>
    </w:p>
  </w:footnote>
  <w:footnote w:type="continuationSeparator" w:id="0">
    <w:p w:rsidR="00DA1958" w:rsidRDefault="00DA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A69E6"/>
    <w:multiLevelType w:val="singleLevel"/>
    <w:tmpl w:val="B0C4CCD8"/>
    <w:lvl w:ilvl="0">
      <w:start w:val="1"/>
      <w:numFmt w:val="decimal"/>
      <w:lvlText w:val="16.7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CA5"/>
    <w:rsid w:val="001B11C8"/>
    <w:rsid w:val="003B428B"/>
    <w:rsid w:val="00533264"/>
    <w:rsid w:val="00643899"/>
    <w:rsid w:val="00A8070A"/>
    <w:rsid w:val="00AD40ED"/>
    <w:rsid w:val="00B005DE"/>
    <w:rsid w:val="00B014D6"/>
    <w:rsid w:val="00B0518A"/>
    <w:rsid w:val="00B43259"/>
    <w:rsid w:val="00BF6BDD"/>
    <w:rsid w:val="00C1557F"/>
    <w:rsid w:val="00CC6375"/>
    <w:rsid w:val="00DA1958"/>
    <w:rsid w:val="00DB38BD"/>
    <w:rsid w:val="00E16CA5"/>
    <w:rsid w:val="00EE116F"/>
    <w:rsid w:val="00F172C5"/>
    <w:rsid w:val="00F73178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BC615783-E307-4644-9A71-F20A3BC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88" w:lineRule="exact"/>
      <w:ind w:hanging="869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06" w:lineRule="exact"/>
      <w:ind w:firstLine="475"/>
      <w:jc w:val="both"/>
    </w:pPr>
  </w:style>
  <w:style w:type="paragraph" w:customStyle="1" w:styleId="Style4">
    <w:name w:val="Style4"/>
    <w:basedOn w:val="a"/>
    <w:pPr>
      <w:spacing w:line="211" w:lineRule="exact"/>
      <w:jc w:val="both"/>
    </w:pPr>
  </w:style>
  <w:style w:type="paragraph" w:customStyle="1" w:styleId="Style5">
    <w:name w:val="Style5"/>
    <w:basedOn w:val="a"/>
    <w:pPr>
      <w:spacing w:line="212" w:lineRule="exact"/>
    </w:pPr>
  </w:style>
  <w:style w:type="paragraph" w:customStyle="1" w:styleId="Style6">
    <w:name w:val="Style6"/>
    <w:basedOn w:val="a"/>
    <w:pPr>
      <w:spacing w:line="211" w:lineRule="exact"/>
      <w:ind w:firstLine="730"/>
    </w:pPr>
  </w:style>
  <w:style w:type="paragraph" w:customStyle="1" w:styleId="Style7">
    <w:name w:val="Style7"/>
    <w:basedOn w:val="a"/>
    <w:pPr>
      <w:spacing w:line="211" w:lineRule="exact"/>
      <w:ind w:hanging="562"/>
    </w:pPr>
  </w:style>
  <w:style w:type="paragraph" w:customStyle="1" w:styleId="Style8">
    <w:name w:val="Style8"/>
    <w:basedOn w:val="a"/>
    <w:pPr>
      <w:spacing w:line="211" w:lineRule="exact"/>
      <w:ind w:firstLine="504"/>
      <w:jc w:val="both"/>
    </w:pPr>
  </w:style>
  <w:style w:type="paragraph" w:customStyle="1" w:styleId="Style9">
    <w:name w:val="Style9"/>
    <w:basedOn w:val="a"/>
    <w:pPr>
      <w:spacing w:line="216" w:lineRule="exact"/>
      <w:jc w:val="both"/>
    </w:pPr>
  </w:style>
  <w:style w:type="character" w:customStyle="1" w:styleId="FontStyle11">
    <w:name w:val="Font Style11"/>
    <w:rPr>
      <w:rFonts w:ascii="Candara" w:hAnsi="Candara" w:cs="Candara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44"/>
      <w:szCs w:val="44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5">
    <w:name w:val="Font Style15"/>
    <w:rPr>
      <w:rFonts w:ascii="Georgia" w:hAnsi="Georgia" w:cs="Georgia"/>
      <w:b/>
      <w:bCs/>
      <w:sz w:val="16"/>
      <w:szCs w:val="16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18">
    <w:name w:val="Font Style1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9">
    <w:name w:val="Font Style1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dcterms:created xsi:type="dcterms:W3CDTF">2014-02-25T00:25:00Z</dcterms:created>
  <dcterms:modified xsi:type="dcterms:W3CDTF">2014-02-25T00:25:00Z</dcterms:modified>
</cp:coreProperties>
</file>