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9CF" w:rsidRDefault="00D519CF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Иммунохроматографический анализ </w:t>
      </w:r>
    </w:p>
    <w:p w:rsidR="00D519CF" w:rsidRDefault="00D519C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современной медицинской практике с каждым годом возрастает роль лабораторной диагностики как основного инструмента постановки диагноза и мониторинга терапии. Одним из бурно развивающихся и востребованных методов лабораторной диагностики является иммунохроматографический анализ.</w:t>
      </w:r>
    </w:p>
    <w:p w:rsidR="00D519CF" w:rsidRDefault="00D519C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ИММУНОХРОМАТОГРАФИЧЕСКИЙ АНАЛИЗ (ИХА) - это метод определения наличия определенных концентраций веществ в биологических материалах (моча, цельная кровь, сыворотка или плазма крови, слюна, кал и т.д.). Данный вид анализа осуществляется при помощи индикаторных полосок, палочек, панелей или тест-кассет, которые обеспечивают быстроту проведения тестирования. ИХА - сравнительно молодой метод анализа, он часто обозначается в литературе также как метод сухой иммунохимии, стрип-тест, QuikStrip cassette, QuikStrip dipstick, экспресс-тест или экспресс-анализ. Эти названия связаны с быстротой проведения этого метода анализа. </w:t>
      </w:r>
    </w:p>
    <w:p w:rsidR="00D519CF" w:rsidRDefault="00D519C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Принцип действия иммунохроматографического теста состоит в том, что при погружении теста в физиологическую жидкость она начинает мигрировать вдоль полоски по принципу тонкослойной хроматографии. Подвижной фазой в данном случае является физиологическая жидкость. Вместе с жидкостью движутся и антитела с красителем. Если в этой жидкости присутствует исследуемый антиген (гормон, инфекционный или онкологический маркер), то происходит его связывание, как с первым, так и со вторым типом антител, что является уже иммунологическим методом анализа. При этом происходит накопление антител с красителем вокруг антител, жестко иммобилизованных в тест-зоне ИХА-полоски, что проявляется в виде яркой темной полосы. Несвязавшиеся антитела с красителем мигрируют далее вдоль полоски и неизбежно взаимодействуют со вторичными антителами в контрольной зоне, где и наблюдается вторая темная полоса. Взаимодействие (и темная полоса) в контрольной зоне должны проявляться всегда (если анализ проведен правильно), независимо от присутствия исследуемого антигена в физиологической жидкости (см.рис.1). Результаты определяются визуально или компьютерной обработкой отсканированного изображения. </w:t>
      </w:r>
    </w:p>
    <w:p w:rsidR="00D519CF" w:rsidRDefault="00D519C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Иммунологический метод анализа основан на реакции между антигеном и соответствующим ему антителом. Антиген - это вещество, которое чужеродное для организма человека и которое может запустить иммунную систему (защитную реакцию). Антитела - это белки, которые выделяются клетками нашего организма при внедрении в него антигена. Метод имунной хроматографии основан на особенном свойстве антител связываться с антигеном специфическим (то есть избирательным) образом. Это означает, что каждое антитело узнает и связывается только с определенным антигеном. На этой уникальной особенности антител и основаны все иммунологические методы анализа в том числе и ИХА. Причем определяемым «антигеном» в данном методе анализа может служить и определяемое в биоматериале антитело к инфекционному агенту или аутоантитело, тогда остальные используемые в тесте антитела будут являться антиантителами. В ИХА- тестах используется три типа антител.</w:t>
      </w:r>
    </w:p>
    <w:p w:rsidR="00D519CF" w:rsidRDefault="00D519C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Растворимые моноклональные антитела к исследуемому антигену или антителу, конъюгированные ("сшитые") с коллоидным золотом - красителем, который можно легко идентифицировать даже в самых малых концентрациях. Эти антитела нанесены вблизи участка погружения тест-полоски в физиологическую жидкость (мочу, кровь). </w:t>
      </w:r>
    </w:p>
    <w:p w:rsidR="00D519CF" w:rsidRDefault="00D519C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Поликлональные антитела к исследуемому антигену или антителу, жестко иммобилизованные в тест-зоне полоски. </w:t>
      </w:r>
    </w:p>
    <w:p w:rsidR="00D519CF" w:rsidRDefault="00D519C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Вторичные антитела к моноклональным антителам, жестко иммобилизованные в контрольной зоне тест-полоски.</w:t>
      </w:r>
    </w:p>
    <w:p w:rsidR="00D519CF" w:rsidRDefault="00D519C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Принцип работы тестов на наркотики несколько отличается от других тест-систем. Устройство ИХА-полоски отличается тем, что в тест-зоне иммобилизованы искусственные антигены, способные специфически связываться со свободными антителами. Если исследуемый антиген (наркотик) НЕ присутствует в физиологической жидкости, участки связывания антител (эпитопы) остаются свободными, и они способны связываться с искусственными антигенами в тест-зоне, образуя темную полосу за счет конъюгированного красителя. Соответственно если исследуемый антиген присутстствует в жидкости, то антитела, связавшись с ним, уже не могут взаимодействовать с антигенами в тест-зоне и образования темной полосы там не происходит. Но в обоих случаях (если анализ проведен правильно) происходит связывание "окрашенных" антител со вторичными антителами в контрольной зоне и образование там темной полосы. Возможные варианты при проведении анализа: одна полоса - положительный результат, две полосы - отрицательный результат, нет полос - анализ проведен неправильно. </w:t>
      </w:r>
    </w:p>
    <w:p w:rsidR="00D519CF" w:rsidRDefault="00D519C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Основными преимуществами использования иммунохроматографических тест полосок являются:</w:t>
      </w:r>
    </w:p>
    <w:p w:rsidR="00D519CF" w:rsidRDefault="00D519C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1) Простота и удобство - позволяет получить результат (анализ и первичное представление о причине заболевания) без оборудования и специальных навыков </w:t>
      </w:r>
    </w:p>
    <w:p w:rsidR="00D519CF" w:rsidRDefault="00D519C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2) Надежность - достоверность тестов достигает 92-99,8%, при этом каждый тест имеет встроенный внутренний контроль </w:t>
      </w:r>
    </w:p>
    <w:p w:rsidR="00D519CF" w:rsidRDefault="00D519C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3) Экономичность - минимальные затраты на приобретение теста и экономия времени на проведение обследования. В рознице стоимость одного ИФА-исследования в 5-10 раз дороже ИХА и получение результата минимум на следующий день</w:t>
      </w:r>
    </w:p>
    <w:p w:rsidR="00D519CF" w:rsidRDefault="00D519C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4) Анонимность - что особенно важно при выявлении заболеваний, передаваемых половым путем, других инфекционных заболеваний, а также выявлении фактов употребления наркотических веществ </w:t>
      </w:r>
    </w:p>
    <w:p w:rsidR="00D519CF" w:rsidRDefault="00D519C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5) Независимость - не требует предварительной медицинской консультации и рецепта врача</w:t>
      </w:r>
    </w:p>
    <w:p w:rsidR="00D519CF" w:rsidRDefault="00D519C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Являясь эффективным средством диагностирования, экспресс-тесты позволяют визуально в течение нескольких минут определить и оценить содержание антигенов, антител, гормонов и других диагностически важных веществ в организме человека. Экспресс-тесты отличаются высокой степенью чувствительности и точности, обнаруживая более 100 видов заболеваний, включающих такие распространённые болезни как туберкулёз, сифилис, гонорею, хламидиоз, различные виды вирусных гепатитов, и др., а также всю гамму применяемых наркотических веществ при высокой достоверности определения. Важным преимуществом данного вида тестов является их применение в диагностике in vitro, не требующей непосредственного присутствия обследуемого пациента.</w:t>
      </w:r>
    </w:p>
    <w:p w:rsidR="00D519CF" w:rsidRDefault="00D519C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Однако иммунохроматографические тест-полоски не лишены недостатков. Касается это надежности, чувствительности и экономичности тестов. Надежность и чувствительность зависит, во-первых, от качества используемых в тесте моноклональных антител и, во-вторых, от концентрации антигена в биоматериале. Качество моноклональных антител зависит от способов их получения, очистки и фиксации на носителе. Концентрация антигена – от стадии заболевания и количества биоматериала. Количество биоматериала особенно важно при использовании цельной крови. При этом существенную роль играет гематокрит, т.е. соотношение плазмы и форменных элементов. При высоком гематокрите снижается количество плазмы с антигеном, мигрирующей вдоль полоски. Температура, от которой зависит скорость взаимодействие антитела с антигеном, важна только для времени постановки теста. Понятно, что использовать полоски при температуре ниже точки замерзания воды, составляющей основную часть биоматериала, не имеет смысла. </w:t>
      </w:r>
    </w:p>
    <w:p w:rsidR="00D519CF" w:rsidRDefault="00D519C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Вызывает большие сомнения экономичность использования экспресс-тестов в бюджетных медицинских организациях, которые занимаются массовой диспансеризацией населения и которым как раз-то удобны и необходимы комплексные стрип-системы из тест-полосок для скринингового выявления различных заболеваний. Обусловлено это низкой стоимостью анализа по бюджетным расценкам. При этом себестоимость тест-полоски в некоторых случаях в 10 раз превосходит оплату анализа.</w:t>
      </w:r>
    </w:p>
    <w:p w:rsidR="00D519CF" w:rsidRDefault="00D519CF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литературы.</w:t>
      </w:r>
    </w:p>
    <w:p w:rsidR="00D519CF" w:rsidRDefault="00D519CF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 xml:space="preserve">1) Wennig R, Moeller MR, Haguenoer JM et al. </w:t>
      </w:r>
      <w:r>
        <w:rPr>
          <w:color w:val="000000"/>
          <w:sz w:val="24"/>
          <w:szCs w:val="24"/>
          <w:lang w:val="en-US"/>
        </w:rPr>
        <w:t>(1998) Development and evaluation of immunochromatographic rapid tests for screening of cannabinoids, cocaine, and opiates in urine // J. Anal. Toxicol. - V.22 - P.148-155</w:t>
      </w:r>
    </w:p>
    <w:p w:rsidR="00D519CF" w:rsidRDefault="00D519CF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2) Coons, S.J. A look at the purchase and use of home pregnancy-test kits. Am.Pharm. NS29:46-48, 1989. </w:t>
      </w:r>
    </w:p>
    <w:p w:rsidR="00D519CF" w:rsidRDefault="00D519CF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3) Bastian, L.A., Nanda, K., Hasselblad, V., and Simel, D.L. Diagnostic efficiency of home pregnancy test kits. A meta-analysis. Arch.Fam.Med. 7:465-469, 1998. </w:t>
      </w:r>
    </w:p>
    <w:p w:rsidR="00D519CF" w:rsidRDefault="00D519CF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4) Latman, N.S. and Bruot, B.C. Evaluation of home pregnancy test kits. Biomed.Instrum.Technol. 23:144-149, 1989. </w:t>
      </w:r>
    </w:p>
    <w:p w:rsidR="00D519CF" w:rsidRDefault="00D519CF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5) Hicks, J.M. and Iosefsohn, M. Reliability of home pregnancy-test kits in the hands of laypersons [letter] [published erratum appears in N Engl J Med 1989 Jul 20;321(3):193] [see comments]. N.Engl.J.Med. 320:320-321, 1989.</w:t>
      </w:r>
    </w:p>
    <w:p w:rsidR="00D519CF" w:rsidRDefault="00D519CF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6) Torlesse, H., Wurie, I.M., and Hodges, M. The use of immunochromatography test cards in the diagnosis of hepatitis B surface antigen among pregnant women in West Africa. Br.J.Biomed.Sci. 54:256-259, 1997. </w:t>
      </w:r>
    </w:p>
    <w:p w:rsidR="00D519CF" w:rsidRDefault="00D519CF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7) Sato, K., Ichiyama, S., Iinuma, Y., Nada, T., Shimokata, K., and Nakashima, N. Evaluation of immunochromatographic assay systems for rapid detection of hepatitis B surface antigen and antibody, Dainascreen HBsAg and Dainascreen Ausab. J.Clin.Microbiol. 34:1420-1422, 1996.</w:t>
      </w:r>
    </w:p>
    <w:p w:rsidR="00D519CF" w:rsidRDefault="00D519CF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8) Lein, M., Jung, K., Schnorr, D., Henke, W., Brux, B., and Loening, S.A. Rapid screening of PSA: evaluation of an immunochemical membrane strip test [letter]. Clin.Chem. 41:1545-1547, 1995.</w:t>
      </w:r>
    </w:p>
    <w:p w:rsidR="00D519CF" w:rsidRDefault="00D519CF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9) Anderson, J.C., Cheng, E., Roeske, M., Marchildon, P., Peacock, J., and Shaw, R.D. Detection of serum antibodies to Helicobacter pylori by an immunochromatographic method. Am.J.Gastroenterol. 92:1135-1139, 1997. </w:t>
      </w:r>
    </w:p>
    <w:p w:rsidR="00D519CF" w:rsidRDefault="00D519CF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10) Schrier, W.H., Schoengold, R.J., Baker, J.T., Norell, J.L., Jaseph, C.L., Okin, Y., Doe, J.Y., and Chandler, H. Development of FlexSure HP--an immunochromatographic method to detect antibodies against Helicobacter pylori. Clin.Chem. 44:293-298, 1998. </w:t>
      </w:r>
    </w:p>
    <w:p w:rsidR="00D519CF" w:rsidRDefault="00D519CF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11) Cognein, P., Costa, A., and Giacosa, A. Serodiagnosis of Helicobacter pylori: evaluation of a rapid, miniaturized immunochromatographic test. Eur.J.Cancer.Prev. 3:457-463, 1994. </w:t>
      </w:r>
    </w:p>
    <w:p w:rsidR="00D519CF" w:rsidRDefault="00D519CF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12) Shirin, H., Bruck, R., Kenet, G., Krepel, Z., Wardi, Y., Reif, S., Zaidel, L., Geva, D., Avni, Y., and Halpern, Z. Evaluation of a new immunochromatographic test for Helicobacter pylori IgG antibodies in elderly symptomatic patients [see comments]. J.Gastroenterol. 34:7-10, 1999.</w:t>
      </w:r>
    </w:p>
    <w:p w:rsidR="00D519CF" w:rsidRDefault="00D519CF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13) Kagen, L. J. 1973 Myoglobin: Biochemical, physiological and clinical aspects. New York and London Colombian University Press. </w:t>
      </w:r>
    </w:p>
    <w:p w:rsidR="00D519CF" w:rsidRDefault="00D519CF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14) Drexel, H. et al. 1983 Myoglobinaemia in the early diagnosis of acute myocradial infarction. A  m. Heart J. 105: 642-651. </w:t>
      </w:r>
    </w:p>
    <w:p w:rsidR="00D519CF" w:rsidRDefault="00D519CF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15) McComb, J. M. et al. 1983 Myoglobin in the very early phase of acute myocardial infaretion. Ann Clin. Biochem, 22:152-155. </w:t>
      </w:r>
    </w:p>
    <w:p w:rsidR="00D519CF" w:rsidRDefault="00D519CF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16) Grenardier, E., Keidar, S., Kahana, L., Alpan, G., Marmur, A., Palant, A. 1983 The roles of serum myoclobin, total CPK, and CK-MB isoenzyme in the acute phase of myocardial infarction. Am. Heart J. 105:408-416. </w:t>
      </w:r>
    </w:p>
    <w:p w:rsidR="00D519CF" w:rsidRDefault="00D519CF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17) Ellis A. K., Saran, B.R. 1989 Kinetics of myoolobin release and prediction of myocardial myoglobin depletion after coronary artery reperfusion. Circulation 80: 676-682. </w:t>
      </w:r>
    </w:p>
    <w:p w:rsidR="00D519CF" w:rsidRDefault="00D519CF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18) McComb, J.M. et al. 1984 Myoglobin and creatine kinase in acute myocardial infarction. Br. Heart J. 51:189-194.</w:t>
      </w:r>
    </w:p>
    <w:p w:rsidR="00D519CF" w:rsidRDefault="00D519CF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19) Struyf, F., Lemmens, A., Valadas, E., Verhaegen, J., and Van Ranst, M. Usefulness of immunochromatographic detection of antibodies to Mycobacterium tuberculosis as an adjunct to auramine staining for rapid diagnosis of tuberculosis in a low-prevalence setting. Eur.J.Clin.Microbiol.Infect.Dis. 18:740-742, 1999. </w:t>
      </w:r>
    </w:p>
    <w:p w:rsidR="00D519CF" w:rsidRDefault="00D519CF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20) Abe, C., Hirano, K., and Tomiyama, T. Simple and rapid identification of the Mycobacterium tuberculosis complex by immunochromatographic assay using anti-MPB64 monoclonal antibodies. J.Clin.Microbiol. 37:3693-3697, 1999.</w:t>
      </w:r>
    </w:p>
    <w:p w:rsidR="00D519CF" w:rsidRDefault="00D519CF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21) Edmund C. Tramont. Traponema pallidum (Syphilis). In Mandell, Douglas and Bennett's Principles and Practice of infectious Diseases. G.L. Mandell, J.E. Bennett, P. Dolin, eds. Churchill Livingston New York, 1995. </w:t>
      </w:r>
    </w:p>
    <w:p w:rsidR="00D519CF" w:rsidRDefault="00D519CF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22) Steven J. Norris and Sandra A larsen, Traponema and Other Host-Associated Spirochemetes in Manual of Clinical Microbiology. P. Murray, E.J. Baron, M.A. Pfaller, F.C. Tenover, R.H. Yoken, eds, ASM Press , Washington D.C. 1995. </w:t>
      </w:r>
    </w:p>
    <w:p w:rsidR="00D519CF" w:rsidRDefault="00D519CF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23) Larsen, S.A., E.F. Hunter, &amp; S.J. Draus (ed.) 1990. A Manual of Tests for Syphilis, 8th ed. American Public Health Association, Washington D.C.</w:t>
      </w:r>
    </w:p>
    <w:p w:rsidR="00D519CF" w:rsidRDefault="00D519CF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bookmarkStart w:id="0" w:name="_GoBack"/>
      <w:bookmarkEnd w:id="0"/>
    </w:p>
    <w:sectPr w:rsidR="00D519CF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0942"/>
    <w:rsid w:val="007E05E5"/>
    <w:rsid w:val="00810942"/>
    <w:rsid w:val="00C55F0F"/>
    <w:rsid w:val="00D51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74C7F57-54AE-4C7F-8739-BA0914BC4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  <w:style w:type="paragraph" w:styleId="2">
    <w:name w:val="Body Text 2"/>
    <w:basedOn w:val="a"/>
    <w:link w:val="20"/>
    <w:uiPriority w:val="99"/>
    <w:pPr>
      <w:ind w:firstLine="540"/>
      <w:jc w:val="both"/>
    </w:pPr>
    <w:rPr>
      <w:color w:val="000000"/>
      <w:sz w:val="28"/>
      <w:szCs w:val="28"/>
    </w:rPr>
  </w:style>
  <w:style w:type="character" w:customStyle="1" w:styleId="20">
    <w:name w:val="Основной текст 2 Знак"/>
    <w:link w:val="2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pPr>
      <w:spacing w:line="288" w:lineRule="auto"/>
      <w:ind w:firstLine="567"/>
    </w:pPr>
    <w:rPr>
      <w:color w:val="000000"/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semiHidden/>
    <w:rPr>
      <w:rFonts w:ascii="Times New Roman" w:hAnsi="Times New Roman"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pPr>
      <w:spacing w:before="100" w:beforeAutospacing="1" w:after="100" w:afterAutospacing="1" w:line="288" w:lineRule="auto"/>
      <w:ind w:firstLine="540"/>
    </w:pPr>
    <w:rPr>
      <w:color w:val="000000"/>
      <w:sz w:val="28"/>
      <w:szCs w:val="28"/>
    </w:rPr>
  </w:style>
  <w:style w:type="character" w:customStyle="1" w:styleId="30">
    <w:name w:val="Основной текст с отступом 3 Знак"/>
    <w:link w:val="3"/>
    <w:uiPriority w:val="99"/>
    <w:semiHidden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7708</Words>
  <Characters>4394</Characters>
  <Application>Microsoft Office Word</Application>
  <DocSecurity>0</DocSecurity>
  <Lines>36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Иммунохроматографический анализ </vt:lpstr>
    </vt:vector>
  </TitlesOfParts>
  <Company>PERSONAL COMPUTERS</Company>
  <LinksUpToDate>false</LinksUpToDate>
  <CharactersWithSpaces>12078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Иммунохроматографический анализ </dc:title>
  <dc:subject/>
  <dc:creator>USER</dc:creator>
  <cp:keywords/>
  <dc:description/>
  <cp:lastModifiedBy>admin</cp:lastModifiedBy>
  <cp:revision>2</cp:revision>
  <dcterms:created xsi:type="dcterms:W3CDTF">2014-01-27T03:56:00Z</dcterms:created>
  <dcterms:modified xsi:type="dcterms:W3CDTF">2014-01-27T03:56:00Z</dcterms:modified>
</cp:coreProperties>
</file>