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41" w:rsidRDefault="00153C4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Toc346258241"/>
      <w:bookmarkStart w:id="1" w:name="_Toc346268800"/>
      <w:bookmarkStart w:id="2" w:name="_Toc3893168"/>
      <w:r>
        <w:rPr>
          <w:b/>
          <w:bCs/>
          <w:color w:val="000000"/>
          <w:sz w:val="32"/>
          <w:szCs w:val="32"/>
        </w:rPr>
        <w:t>Инфразвук</w:t>
      </w:r>
      <w:bookmarkEnd w:id="0"/>
      <w:bookmarkEnd w:id="1"/>
      <w:bookmarkEnd w:id="2"/>
      <w:r>
        <w:rPr>
          <w:b/>
          <w:bCs/>
          <w:color w:val="000000"/>
          <w:sz w:val="32"/>
          <w:szCs w:val="32"/>
        </w:rPr>
        <w:t xml:space="preserve"> и ульразвук. Вибрация. Лазерное излучение.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Инфразвук — колебание звуковой волны &gt; 20 Гц.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Природа возникновения инфразвуковых колебаний такая же как и у слышимого звука. Подчиняется тем же закономерностям. Используется такой же математический аппарат, кроме понятия, связанного с уровнем звука.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Особенности: малое поглощение эн., значит распространяется на значительные расстояния.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Источники инфразвука: оборудование, которое работает с частотой циклов менее 20 в секунду.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Вредное воздействие: действует на центр. нервную систему (страх, тревога, покачивание, т.д.)</w:t>
      </w:r>
    </w:p>
    <w:p w:rsidR="00153C41" w:rsidRDefault="00153C4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3" w:name="_Toc346258242"/>
      <w:bookmarkStart w:id="4" w:name="_Toc346268801"/>
      <w:bookmarkStart w:id="5" w:name="_Toc3893169"/>
      <w:r>
        <w:rPr>
          <w:b/>
          <w:bCs/>
          <w:color w:val="000000"/>
          <w:sz w:val="28"/>
          <w:szCs w:val="28"/>
        </w:rPr>
        <w:t>Опасность для человека</w:t>
      </w:r>
      <w:bookmarkEnd w:id="3"/>
      <w:bookmarkEnd w:id="4"/>
      <w:bookmarkEnd w:id="5"/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Диапазон инфразвуковых колебаний совпадает с внутренней частотой отдельных органов человека (6-8 Гц), следовательно, из-за резонанса могут возникнуть тяжелые последствия.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Увеличение звукового давления до 150 дБА приводит к изменению пищеварительных функций и сердечному ритму. Возможна потеря слуха и зрения.</w:t>
      </w:r>
    </w:p>
    <w:p w:rsidR="00153C41" w:rsidRDefault="00153C4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6" w:name="_Toc346258243"/>
      <w:bookmarkStart w:id="7" w:name="_Toc346268802"/>
      <w:bookmarkStart w:id="8" w:name="_Toc3893170"/>
      <w:r>
        <w:rPr>
          <w:b/>
          <w:bCs/>
          <w:color w:val="000000"/>
          <w:sz w:val="28"/>
          <w:szCs w:val="28"/>
        </w:rPr>
        <w:t>Нормирование инфразвука</w:t>
      </w:r>
      <w:bookmarkEnd w:id="6"/>
      <w:bookmarkEnd w:id="7"/>
      <w:bookmarkEnd w:id="8"/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 22-74-80. Нормативным параметром являются логарифмические уровни звукового давления в октавных полосах со ср. геом. частотой: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2, 4, 8, 16 Гц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sym w:font="Symbol" w:char="F0A3"/>
      </w:r>
      <w:r>
        <w:rPr>
          <w:color w:val="000000"/>
          <w:sz w:val="24"/>
          <w:szCs w:val="24"/>
        </w:rPr>
        <w:t xml:space="preserve"> 105 дБА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32 Гц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sym w:font="Symbol" w:char="F0A3"/>
      </w:r>
      <w:r>
        <w:rPr>
          <w:color w:val="000000"/>
          <w:sz w:val="24"/>
          <w:szCs w:val="24"/>
        </w:rPr>
        <w:t xml:space="preserve"> 102 дБА</w:t>
      </w:r>
    </w:p>
    <w:p w:rsidR="00153C41" w:rsidRDefault="00153C4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9" w:name="_Toc346258244"/>
      <w:bookmarkStart w:id="10" w:name="_Toc346268803"/>
      <w:bookmarkStart w:id="11" w:name="_Toc3893171"/>
      <w:r>
        <w:rPr>
          <w:b/>
          <w:bCs/>
          <w:color w:val="000000"/>
          <w:sz w:val="28"/>
          <w:szCs w:val="28"/>
        </w:rPr>
        <w:t>Защитные мероприятия</w:t>
      </w:r>
      <w:bookmarkEnd w:id="9"/>
      <w:bookmarkEnd w:id="10"/>
      <w:bookmarkEnd w:id="11"/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Снижение ин. звука в источнике возникновения.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Средства индивидуальной защиты.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Поглощение.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12" w:name="_Toc346258245"/>
      <w:bookmarkStart w:id="13" w:name="_Toc346268804"/>
      <w:bookmarkStart w:id="14" w:name="_Toc3893172"/>
      <w:r>
        <w:rPr>
          <w:color w:val="000000"/>
          <w:sz w:val="24"/>
          <w:szCs w:val="24"/>
        </w:rPr>
        <w:t>Приборы контроля</w:t>
      </w:r>
      <w:bookmarkEnd w:id="12"/>
      <w:bookmarkEnd w:id="13"/>
      <w:bookmarkEnd w:id="14"/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Шумомеры типа ШВК с фильтром ФЭ-2. Виброаккустическая аппаратура типа RFT.</w:t>
      </w:r>
    </w:p>
    <w:p w:rsidR="00153C41" w:rsidRDefault="00153C4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15" w:name="_Toc346258246"/>
      <w:bookmarkStart w:id="16" w:name="_Toc346268805"/>
      <w:bookmarkStart w:id="17" w:name="_Toc3893173"/>
      <w:r>
        <w:rPr>
          <w:b/>
          <w:bCs/>
          <w:color w:val="000000"/>
          <w:sz w:val="28"/>
          <w:szCs w:val="28"/>
        </w:rPr>
        <w:t>Ультразвук</w:t>
      </w:r>
      <w:bookmarkEnd w:id="15"/>
      <w:bookmarkEnd w:id="16"/>
      <w:bookmarkEnd w:id="17"/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Ультразвук — колебание звуковой волны &lt; кГц.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Используется в оптике (для обезжиривания, ...)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Низкочастотные ультразвуковые колебания распространяются воздушным и контактным путем.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Высокочастотные - контактным путем.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Вредное воздействие — на сердечно-сосудистую систему; нервную систему; эндокринную систему; нарушение терморегуляции и обмена веществ. Местное воздействие может привести к онемению.</w:t>
      </w:r>
    </w:p>
    <w:p w:rsidR="00153C41" w:rsidRDefault="00153C4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18" w:name="_Toc346258247"/>
      <w:bookmarkStart w:id="19" w:name="_Toc346268806"/>
      <w:bookmarkStart w:id="20" w:name="_Toc3893174"/>
      <w:r>
        <w:rPr>
          <w:b/>
          <w:bCs/>
          <w:color w:val="000000"/>
          <w:sz w:val="28"/>
          <w:szCs w:val="28"/>
        </w:rPr>
        <w:t>Нормирование ультразвука</w:t>
      </w:r>
      <w:bookmarkEnd w:id="18"/>
      <w:bookmarkEnd w:id="19"/>
      <w:bookmarkEnd w:id="20"/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ГОСТ 12.1.001-89. Нормируются логарифмические уровни звукового давления в </w:t>
      </w:r>
      <w:r>
        <w:rPr>
          <w:color w:val="000000"/>
          <w:sz w:val="24"/>
          <w:szCs w:val="24"/>
        </w:rPr>
        <w:lastRenderedPageBreak/>
        <w:t>октавных полосах: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12,5 кГц</w:t>
      </w:r>
      <w:r>
        <w:rPr>
          <w:color w:val="000000"/>
          <w:sz w:val="24"/>
          <w:szCs w:val="24"/>
        </w:rPr>
        <w:tab/>
        <w:t>не более</w:t>
      </w:r>
      <w:r>
        <w:rPr>
          <w:color w:val="000000"/>
          <w:sz w:val="24"/>
          <w:szCs w:val="24"/>
        </w:rPr>
        <w:tab/>
        <w:t>80 дБА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 кГц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90 дБА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 кГц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105 дБА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31-100 кГц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110 дБА</w:t>
      </w:r>
    </w:p>
    <w:p w:rsidR="00153C41" w:rsidRDefault="00153C4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21" w:name="_Toc346258248"/>
      <w:bookmarkStart w:id="22" w:name="_Toc346268807"/>
      <w:bookmarkStart w:id="23" w:name="_Toc3893175"/>
      <w:r>
        <w:rPr>
          <w:b/>
          <w:bCs/>
          <w:color w:val="000000"/>
          <w:sz w:val="28"/>
          <w:szCs w:val="28"/>
        </w:rPr>
        <w:t>Меры защиты</w:t>
      </w:r>
      <w:bookmarkEnd w:id="21"/>
      <w:bookmarkEnd w:id="22"/>
      <w:bookmarkEnd w:id="23"/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блокировок.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Звукоизоляция (экранирование).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Дистанционное управление.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Противошумы.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Приборы контроля: виброаккустическая система типа RFT.</w:t>
      </w:r>
    </w:p>
    <w:p w:rsidR="00153C41" w:rsidRDefault="00153C4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24" w:name="_Toc346258249"/>
      <w:bookmarkStart w:id="25" w:name="_Toc346268808"/>
      <w:bookmarkStart w:id="26" w:name="_Toc3893176"/>
      <w:r>
        <w:rPr>
          <w:b/>
          <w:bCs/>
          <w:color w:val="000000"/>
          <w:sz w:val="28"/>
          <w:szCs w:val="28"/>
        </w:rPr>
        <w:t>Вибрация</w:t>
      </w:r>
      <w:bookmarkEnd w:id="24"/>
      <w:bookmarkEnd w:id="25"/>
      <w:bookmarkEnd w:id="26"/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Вибрация — механические колебания материальных точек или тел.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Источники вибраций: разное производственное оборудование.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Причина появления вибрации: неуравновешенное силовое воздействие.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Вредные воздействия: повреждения различных органов и тканей; влияние на центральную нервную систему; влияние на органы слуха и зрения; повышение утомляемости.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Более вредная вибрация, близкая к собственной частоте человеческого тела (6-8 Гц) и рук (30-80 Гц).</w:t>
      </w:r>
    </w:p>
    <w:p w:rsidR="00153C41" w:rsidRDefault="00153C4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27" w:name="_Toc346258250"/>
      <w:bookmarkStart w:id="28" w:name="_Toc346268809"/>
      <w:bookmarkStart w:id="29" w:name="_Toc3893177"/>
      <w:r>
        <w:rPr>
          <w:b/>
          <w:bCs/>
          <w:color w:val="000000"/>
          <w:sz w:val="28"/>
          <w:szCs w:val="28"/>
        </w:rPr>
        <w:t>Основные характеристики</w:t>
      </w:r>
      <w:bookmarkEnd w:id="27"/>
      <w:bookmarkEnd w:id="28"/>
      <w:bookmarkEnd w:id="29"/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Колебательная скорость: V, м/с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Частота колебаний: f, Гц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Ср. квадратичное значение колебательной скорости в соответствии полосе частот: VC, м/с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Логарифм. уровень виброскорости при расчетах и нормировании: LV=20 lg VC/V0 [дБ]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V0 - пороговое значение колебательной скорости (V0 = 5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>10-8 м/с)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способу передачи вибрации на человека: - общая; - локальная (ноги или руки).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источнику возникновения: - транспортная; - технологическая; - транспортно-технологическая.</w:t>
      </w:r>
    </w:p>
    <w:p w:rsidR="00153C41" w:rsidRDefault="00153C4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30" w:name="_Toc346258251"/>
      <w:bookmarkStart w:id="31" w:name="_Toc346268810"/>
      <w:bookmarkStart w:id="32" w:name="_Toc3893178"/>
      <w:r>
        <w:rPr>
          <w:b/>
          <w:bCs/>
          <w:color w:val="000000"/>
          <w:sz w:val="28"/>
          <w:szCs w:val="28"/>
        </w:rPr>
        <w:t>Нормирование вибрации</w:t>
      </w:r>
      <w:bookmarkEnd w:id="30"/>
      <w:bookmarkEnd w:id="31"/>
      <w:bookmarkEnd w:id="32"/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направление. Санитарно-гигиеническое.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направление. Техническое (защита оборудования).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ГОСТ 12.1.012-90 ССБТ Вибрационная безопасность.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Октава f1</w:t>
      </w:r>
      <w:r>
        <w:rPr>
          <w:color w:val="000000"/>
          <w:sz w:val="24"/>
          <w:szCs w:val="24"/>
        </w:rPr>
        <w:sym w:font="Symbol" w:char="F0AC"/>
      </w:r>
      <w:r>
        <w:rPr>
          <w:color w:val="000000"/>
          <w:sz w:val="24"/>
          <w:szCs w:val="24"/>
        </w:rPr>
        <w:sym w:font="Symbol" w:char="F0AE"/>
      </w:r>
      <w:r>
        <w:rPr>
          <w:color w:val="000000"/>
          <w:sz w:val="24"/>
          <w:szCs w:val="24"/>
        </w:rPr>
        <w:t>f2, f2/f1=2, fСР=</w:t>
      </w:r>
      <w:r w:rsidR="007B77E3"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0.25pt">
            <v:imagedata r:id="rId5" o:title=""/>
          </v:shape>
        </w:pic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санитарно-гигиеническом нормировании разных видов вибрации используется логарифмический уровень виброскорости в октавных полосах ср. геом. частот.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Граничные частоты октавных полос: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1,4-2,8</w:t>
      </w:r>
      <w:r>
        <w:rPr>
          <w:color w:val="000000"/>
          <w:sz w:val="24"/>
          <w:szCs w:val="24"/>
        </w:rPr>
        <w:tab/>
        <w:t>2,8-5,6</w:t>
      </w:r>
      <w:r>
        <w:rPr>
          <w:color w:val="000000"/>
          <w:sz w:val="24"/>
          <w:szCs w:val="24"/>
        </w:rPr>
        <w:tab/>
        <w:t>5,6-11,2</w:t>
      </w:r>
      <w:r>
        <w:rPr>
          <w:color w:val="000000"/>
          <w:sz w:val="24"/>
          <w:szCs w:val="24"/>
        </w:rPr>
        <w:tab/>
        <w:t>...</w:t>
      </w:r>
      <w:r>
        <w:rPr>
          <w:color w:val="000000"/>
          <w:sz w:val="24"/>
          <w:szCs w:val="24"/>
        </w:rPr>
        <w:tab/>
        <w:t>45-90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2</w:t>
      </w:r>
      <w:r>
        <w:rPr>
          <w:color w:val="000000"/>
          <w:sz w:val="24"/>
          <w:szCs w:val="24"/>
        </w:rPr>
        <w:tab/>
        <w:t>4</w:t>
      </w:r>
      <w:r>
        <w:rPr>
          <w:color w:val="000000"/>
          <w:sz w:val="24"/>
          <w:szCs w:val="24"/>
        </w:rPr>
        <w:tab/>
        <w:t>8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63 ср. геом. частоты</w:t>
      </w:r>
    </w:p>
    <w:p w:rsidR="00153C41" w:rsidRDefault="00153C4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33" w:name="_Toc346258252"/>
      <w:bookmarkStart w:id="34" w:name="_Toc346268811"/>
      <w:bookmarkStart w:id="35" w:name="_Toc3893179"/>
      <w:r>
        <w:rPr>
          <w:b/>
          <w:bCs/>
          <w:color w:val="000000"/>
          <w:sz w:val="28"/>
          <w:szCs w:val="28"/>
        </w:rPr>
        <w:t>Методы снижения вибрации</w:t>
      </w:r>
      <w:bookmarkEnd w:id="33"/>
      <w:bookmarkEnd w:id="34"/>
      <w:bookmarkEnd w:id="35"/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Снижение вибрации в источнике ее возникновения.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Конструктивные методы (виброгашение, виброденфирование - подбор опр. видов материалов, виброизоляция).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Организационные меры. Организация режима труда и отдыха.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ср-в инд. защиты (защита опорных пов-тей)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36" w:name="_Toc346258253"/>
      <w:bookmarkStart w:id="37" w:name="_Toc346268812"/>
      <w:bookmarkStart w:id="38" w:name="_Toc3893180"/>
      <w:r>
        <w:rPr>
          <w:color w:val="000000"/>
          <w:sz w:val="24"/>
          <w:szCs w:val="24"/>
        </w:rPr>
        <w:t>Спектр электромагнитного излучения</w:t>
      </w:r>
      <w:bookmarkEnd w:id="36"/>
      <w:bookmarkEnd w:id="37"/>
      <w:bookmarkEnd w:id="38"/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153C41" w:rsidRDefault="007B77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6" type="#_x0000_t75" style="width:300pt;height:153.75pt" fillcolor="window">
            <v:imagedata r:id="rId6" o:title=""/>
          </v:shape>
        </w:pict>
      </w:r>
      <w:r>
        <w:rPr>
          <w:noProof/>
        </w:rPr>
        <w:pict>
          <v:rect id="_x0000_s1026" style="position:absolute;left:0;text-align:left;margin-left:277.5pt;margin-top:8.05pt;width:6.05pt;height:15.65pt;z-index:251657728;mso-position-horizontal-relative:page;mso-position-vertical-relative:text" o:allowincell="f" filled="f" stroked="f">
            <v:textbox style="mso-next-textbox:#_x0000_s1026" inset="3pt,3pt,3pt,3pt">
              <w:txbxContent>
                <w:p w:rsidR="00153C41" w:rsidRDefault="00153C41"/>
              </w:txbxContent>
            </v:textbox>
            <w10:wrap anchorx="page"/>
          </v:rect>
        </w:pict>
      </w:r>
    </w:p>
    <w:p w:rsidR="00153C41" w:rsidRDefault="00153C4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39" w:name="_Toc346258254"/>
      <w:bookmarkStart w:id="40" w:name="_Toc346268813"/>
      <w:bookmarkStart w:id="41" w:name="_Toc3893181"/>
      <w:r>
        <w:rPr>
          <w:b/>
          <w:bCs/>
          <w:color w:val="000000"/>
          <w:sz w:val="28"/>
          <w:szCs w:val="28"/>
        </w:rPr>
        <w:t>Лазерное излучение</w:t>
      </w:r>
      <w:bookmarkEnd w:id="39"/>
      <w:bookmarkEnd w:id="40"/>
      <w:bookmarkEnd w:id="41"/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Лазерное излучение: </w:t>
      </w:r>
      <w:r>
        <w:rPr>
          <w:color w:val="000000"/>
          <w:sz w:val="24"/>
          <w:szCs w:val="24"/>
        </w:rPr>
        <w:sym w:font="Symbol" w:char="F06C"/>
      </w:r>
      <w:r>
        <w:rPr>
          <w:color w:val="000000"/>
          <w:sz w:val="24"/>
          <w:szCs w:val="24"/>
        </w:rPr>
        <w:t xml:space="preserve"> = 0,2 - 1000 мкм.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источник - оптический квантовый генератор (лазер).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Особенности лазерного излучения - монохроматичность; острая направленность пучка; когерентность.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Свойства лазерного излучения: высокая плотность энергии: 1010-1012 Дж/см2, высокая плотность мощности : 1020-1022 Вт/см2.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виду излучение лазерное излучение подразделяется: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прямое излучение; рассеянное; зеркально-отраженное; диффузное.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степени опасности: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Класс. К лазерам первого класса относятся такие, выходное излучение которых не представляет опасности для глаз и кожи.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Класс. К лазерам второго класса относятся такие лазеры, эксплуатация которых связана с воздействием прямого и зеркально-отраженного излучения только на глаза.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Класс. Лазеры характеризуются опасностью воздействия на глаза прямого, и зеркально и диффузно отраженного излучения на расстоянии 10 см от диффузно отражающей поверхности на глаза, а также прямого и зеркально отраженного излучения на кожу.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Класс. Лазеры характеризуются опасностью воздействия на кожу на расстоянии 10 см от диффузно отражающей поверхности.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Биологические действия лазерного излучения зависит от длины волны и интенсивности излучения, поэтому весь диапазон длин волн делится на области: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ультрафиолетовая 0.2-0.4 мкм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видимая 0.4-0.75 мкм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инфракрасная: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ближняя 0.75-1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дальняя свыше 1.0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42" w:name="_Toc346258255"/>
      <w:bookmarkStart w:id="43" w:name="_Toc346268814"/>
      <w:bookmarkStart w:id="44" w:name="_Toc3893182"/>
      <w:r>
        <w:rPr>
          <w:color w:val="000000"/>
          <w:sz w:val="24"/>
          <w:szCs w:val="24"/>
        </w:rPr>
        <w:t>Опасные и вредные факторы при эксплуатации лазеров.</w:t>
      </w:r>
      <w:bookmarkEnd w:id="42"/>
      <w:bookmarkEnd w:id="43"/>
      <w:bookmarkEnd w:id="44"/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078"/>
        <w:gridCol w:w="600"/>
        <w:gridCol w:w="689"/>
        <w:gridCol w:w="696"/>
        <w:gridCol w:w="697"/>
      </w:tblGrid>
      <w:tr w:rsidR="00153C41" w:rsidRPr="00153C41">
        <w:trPr>
          <w:tblHeader/>
        </w:trPr>
        <w:tc>
          <w:tcPr>
            <w:tcW w:w="354" w:type="dxa"/>
            <w:tcBorders>
              <w:bottom w:val="nil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8" w:type="dxa"/>
            <w:tcBorders>
              <w:bottom w:val="nil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ОПФ и ВПФ</w:t>
            </w:r>
          </w:p>
        </w:tc>
        <w:tc>
          <w:tcPr>
            <w:tcW w:w="2682" w:type="dxa"/>
            <w:gridSpan w:val="4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класс опасности</w:t>
            </w:r>
          </w:p>
        </w:tc>
      </w:tr>
      <w:tr w:rsidR="00153C41" w:rsidRPr="00153C41">
        <w:trPr>
          <w:tblHeader/>
        </w:trPr>
        <w:tc>
          <w:tcPr>
            <w:tcW w:w="354" w:type="dxa"/>
            <w:tcBorders>
              <w:top w:val="nil"/>
              <w:bottom w:val="double" w:sz="6" w:space="0" w:color="auto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nil"/>
              <w:bottom w:val="double" w:sz="6" w:space="0" w:color="auto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double" w:sz="6" w:space="0" w:color="auto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bottom w:val="double" w:sz="6" w:space="0" w:color="auto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double" w:sz="6" w:space="0" w:color="auto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double" w:sz="6" w:space="0" w:color="auto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53C41" w:rsidRPr="00153C41">
        <w:tc>
          <w:tcPr>
            <w:tcW w:w="354" w:type="dxa"/>
            <w:tcBorders>
              <w:top w:val="nil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nil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Лазерное излучение</w:t>
            </w:r>
          </w:p>
        </w:tc>
        <w:tc>
          <w:tcPr>
            <w:tcW w:w="600" w:type="dxa"/>
            <w:tcBorders>
              <w:top w:val="nil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53C41" w:rsidRPr="00153C41">
        <w:tc>
          <w:tcPr>
            <w:tcW w:w="354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прямые</w:t>
            </w:r>
          </w:p>
        </w:tc>
        <w:tc>
          <w:tcPr>
            <w:tcW w:w="600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3C41" w:rsidRPr="00153C41">
        <w:tc>
          <w:tcPr>
            <w:tcW w:w="354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диф. отраженные</w:t>
            </w:r>
          </w:p>
        </w:tc>
        <w:tc>
          <w:tcPr>
            <w:tcW w:w="600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3C41" w:rsidRPr="00153C41">
        <w:tc>
          <w:tcPr>
            <w:tcW w:w="354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078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Повышенная напряженность эл.поля</w:t>
            </w:r>
          </w:p>
        </w:tc>
        <w:tc>
          <w:tcPr>
            <w:tcW w:w="600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-(+)</w:t>
            </w:r>
          </w:p>
        </w:tc>
        <w:tc>
          <w:tcPr>
            <w:tcW w:w="689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3C41" w:rsidRPr="00153C41">
        <w:tc>
          <w:tcPr>
            <w:tcW w:w="354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078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Повышенная запыленность,загазованность воздуха рабочей зоны</w:t>
            </w:r>
          </w:p>
        </w:tc>
        <w:tc>
          <w:tcPr>
            <w:tcW w:w="600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 xml:space="preserve">-(+) </w:t>
            </w:r>
          </w:p>
        </w:tc>
        <w:tc>
          <w:tcPr>
            <w:tcW w:w="697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3C41" w:rsidRPr="00153C41">
        <w:tc>
          <w:tcPr>
            <w:tcW w:w="354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078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Повышенный уровень ультрафиолетовой радиации</w:t>
            </w:r>
          </w:p>
        </w:tc>
        <w:tc>
          <w:tcPr>
            <w:tcW w:w="600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-(+)</w:t>
            </w:r>
          </w:p>
        </w:tc>
        <w:tc>
          <w:tcPr>
            <w:tcW w:w="697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3C41" w:rsidRPr="00153C41">
        <w:tc>
          <w:tcPr>
            <w:tcW w:w="354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078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Повышенная яркость света</w:t>
            </w:r>
          </w:p>
        </w:tc>
        <w:tc>
          <w:tcPr>
            <w:tcW w:w="600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-(+)</w:t>
            </w:r>
          </w:p>
        </w:tc>
        <w:tc>
          <w:tcPr>
            <w:tcW w:w="697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3C41" w:rsidRPr="00153C41">
        <w:tc>
          <w:tcPr>
            <w:tcW w:w="354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078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Повышенный уровень шума и вибраций</w:t>
            </w:r>
          </w:p>
        </w:tc>
        <w:tc>
          <w:tcPr>
            <w:tcW w:w="600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-(+)</w:t>
            </w:r>
          </w:p>
        </w:tc>
        <w:tc>
          <w:tcPr>
            <w:tcW w:w="697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3C41" w:rsidRPr="00153C41">
        <w:tc>
          <w:tcPr>
            <w:tcW w:w="354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078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Поваышенный уровень ионизирующих излучений</w:t>
            </w:r>
          </w:p>
        </w:tc>
        <w:tc>
          <w:tcPr>
            <w:tcW w:w="600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3C41" w:rsidRPr="00153C41">
        <w:tc>
          <w:tcPr>
            <w:tcW w:w="354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078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 xml:space="preserve">Повышенный уровень элевтромагнитного излучения </w:t>
            </w:r>
          </w:p>
        </w:tc>
        <w:tc>
          <w:tcPr>
            <w:tcW w:w="600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53C41" w:rsidRPr="00153C41">
        <w:tc>
          <w:tcPr>
            <w:tcW w:w="354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СВЧ и ВЧ диапазонов</w:t>
            </w:r>
          </w:p>
        </w:tc>
        <w:tc>
          <w:tcPr>
            <w:tcW w:w="600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-(+)</w:t>
            </w:r>
          </w:p>
        </w:tc>
      </w:tr>
      <w:tr w:rsidR="00153C41" w:rsidRPr="00153C41">
        <w:tc>
          <w:tcPr>
            <w:tcW w:w="354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078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Повышенный уровень инфракрасной радиации</w:t>
            </w:r>
          </w:p>
        </w:tc>
        <w:tc>
          <w:tcPr>
            <w:tcW w:w="600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-(+)</w:t>
            </w:r>
          </w:p>
        </w:tc>
        <w:tc>
          <w:tcPr>
            <w:tcW w:w="697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3C41" w:rsidRPr="00153C41">
        <w:tc>
          <w:tcPr>
            <w:tcW w:w="354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8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Повышенная температура поверхности оборудования</w:t>
            </w:r>
          </w:p>
        </w:tc>
        <w:tc>
          <w:tcPr>
            <w:tcW w:w="600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-(+)</w:t>
            </w:r>
          </w:p>
        </w:tc>
        <w:tc>
          <w:tcPr>
            <w:tcW w:w="697" w:type="dxa"/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+</w:t>
            </w:r>
          </w:p>
        </w:tc>
      </w:tr>
    </w:tbl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45" w:name="_Toc346258256"/>
      <w:bookmarkStart w:id="46" w:name="_Toc346268815"/>
      <w:bookmarkStart w:id="47" w:name="_Toc3893183"/>
      <w:r>
        <w:rPr>
          <w:color w:val="000000"/>
          <w:sz w:val="24"/>
          <w:szCs w:val="24"/>
        </w:rPr>
        <w:t>Вредные воздействия лазерного излучения.</w:t>
      </w:r>
      <w:bookmarkEnd w:id="45"/>
      <w:bookmarkEnd w:id="46"/>
      <w:bookmarkEnd w:id="47"/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термические воздействия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энергетические воздействия (+ мощность)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фотохимические воздействия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механическое воздействие(колебания типа ультразвуковых в облученном организме)</w:t>
      </w:r>
      <w:r>
        <w:rPr>
          <w:color w:val="000000"/>
          <w:sz w:val="24"/>
          <w:szCs w:val="24"/>
        </w:rPr>
        <w:tab/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электрострикция (деформация молекул в поле лазерного излучения)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образование в пределах клетках микроволнового электромагнитного поля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Вредные воздействия оказывает на органы зрения, а также имеют место биологические эффекты при облучении кожи.</w:t>
      </w:r>
    </w:p>
    <w:p w:rsidR="00153C41" w:rsidRDefault="00153C4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48" w:name="_Toc346258257"/>
      <w:bookmarkStart w:id="49" w:name="_Toc346268816"/>
      <w:bookmarkStart w:id="50" w:name="_Toc3893184"/>
      <w:r>
        <w:rPr>
          <w:b/>
          <w:bCs/>
          <w:color w:val="000000"/>
          <w:sz w:val="28"/>
          <w:szCs w:val="28"/>
        </w:rPr>
        <w:t>Нормирование лазерного излучения.</w:t>
      </w:r>
      <w:bookmarkEnd w:id="48"/>
      <w:bookmarkEnd w:id="49"/>
      <w:bookmarkEnd w:id="50"/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 23- 92- 81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Нормируемый параметр — предельно - допустимый уровень(ПДУ) лазерного излучения при </w:t>
      </w:r>
      <w:r>
        <w:rPr>
          <w:color w:val="000000"/>
          <w:sz w:val="24"/>
          <w:szCs w:val="24"/>
        </w:rPr>
        <w:sym w:font="Symbol" w:char="F06C"/>
      </w:r>
      <w:r>
        <w:rPr>
          <w:color w:val="000000"/>
          <w:sz w:val="24"/>
          <w:szCs w:val="24"/>
        </w:rPr>
        <w:t>=0.2-20 мкм и кроме этого регламентируется ПДУ на роговице, сетчатке, коже.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ПДУ — отношение энергии излучения, падающей на определенные участки поверхности к площади этого участка [Дж/см2]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ПДУ зависит от: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длины волны лазерного излучения [мкм]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продолжительности импульса [cек]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частоты повторения импульса [Гц]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длительности воздействия [сек]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51" w:name="_Toc346258258"/>
      <w:bookmarkStart w:id="52" w:name="_Toc346268817"/>
      <w:bookmarkStart w:id="53" w:name="_Toc3893185"/>
      <w:r>
        <w:rPr>
          <w:color w:val="000000"/>
          <w:sz w:val="24"/>
          <w:szCs w:val="24"/>
        </w:rPr>
        <w:t>Меры защиты от воздействия лазерного излучения</w:t>
      </w:r>
      <w:bookmarkEnd w:id="51"/>
      <w:bookmarkEnd w:id="52"/>
      <w:bookmarkEnd w:id="53"/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2810"/>
        <w:gridCol w:w="3005"/>
      </w:tblGrid>
      <w:tr w:rsidR="00153C41" w:rsidRPr="00153C41"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Организационные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53C41" w:rsidRPr="00153C41"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Технические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снижение плотности потока</w:t>
            </w:r>
          </w:p>
        </w:tc>
      </w:tr>
      <w:tr w:rsidR="00153C41" w:rsidRPr="00153C41"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Планировочные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на рабочих местах</w:t>
            </w:r>
          </w:p>
        </w:tc>
      </w:tr>
      <w:tr w:rsidR="00153C41" w:rsidRPr="00153C41"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53C41">
              <w:rPr>
                <w:color w:val="000000"/>
                <w:sz w:val="24"/>
                <w:szCs w:val="24"/>
              </w:rPr>
              <w:t>Санитарно-гигиенические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53C41" w:rsidRPr="00153C41" w:rsidRDefault="00153C4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распространенным из технических мер является :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экранирование(рабочее место, лазерное излучение)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блокировка, с помощью которых, лазер приводится в рабочее положение если экран на месте.</w:t>
      </w:r>
    </w:p>
    <w:p w:rsidR="00153C41" w:rsidRDefault="00153C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Аппаратура контроля: лазерные дозиметры.</w:t>
      </w:r>
    </w:p>
    <w:p w:rsidR="00153C41" w:rsidRDefault="00153C4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54" w:name="_GoBack"/>
      <w:bookmarkEnd w:id="54"/>
    </w:p>
    <w:sectPr w:rsidR="00153C41">
      <w:pgSz w:w="11906" w:h="16838" w:code="11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iosBlac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i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T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572FE"/>
    <w:multiLevelType w:val="multilevel"/>
    <w:tmpl w:val="8B9E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TimesNew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96A"/>
    <w:rsid w:val="00153C41"/>
    <w:rsid w:val="007B77E3"/>
    <w:rsid w:val="007F46A5"/>
    <w:rsid w:val="00F0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A6D22276-F05A-4EEB-9D7A-3481BE00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0"/>
    <w:link w:val="10"/>
    <w:uiPriority w:val="99"/>
    <w:qFormat/>
    <w:pPr>
      <w:pageBreakBefore/>
      <w:suppressAutoHyphens/>
      <w:spacing w:before="120" w:after="120"/>
      <w:ind w:firstLine="425"/>
      <w:jc w:val="center"/>
      <w:outlineLvl w:val="0"/>
    </w:pPr>
    <w:rPr>
      <w:rFonts w:ascii="HeliosBlack" w:hAnsi="HeliosBlack" w:cs="HeliosBlack"/>
      <w:b/>
      <w:bCs/>
      <w:kern w:val="28"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120" w:after="120"/>
      <w:outlineLvl w:val="1"/>
    </w:pPr>
    <w:rPr>
      <w:rFonts w:ascii="Helios" w:hAnsi="Helios" w:cs="Helios"/>
      <w:b/>
      <w:bCs/>
      <w:i/>
      <w:iCs/>
      <w:sz w:val="24"/>
      <w:szCs w:val="24"/>
    </w:rPr>
  </w:style>
  <w:style w:type="paragraph" w:styleId="3">
    <w:name w:val="heading 3"/>
    <w:basedOn w:val="a"/>
    <w:next w:val="a0"/>
    <w:link w:val="30"/>
    <w:uiPriority w:val="99"/>
    <w:qFormat/>
    <w:pPr>
      <w:keepNext/>
      <w:spacing w:before="60"/>
      <w:jc w:val="center"/>
      <w:outlineLvl w:val="2"/>
    </w:pPr>
    <w:rPr>
      <w:rFonts w:ascii="TimesET" w:hAnsi="TimesET" w:cs="TimesET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Pr>
      <w:rFonts w:ascii="Helios" w:hAnsi="Helios" w:cs="Helios"/>
      <w:b/>
      <w:bCs/>
      <w:i/>
      <w:iCs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0">
    <w:name w:val="Plain Text"/>
    <w:basedOn w:val="a"/>
    <w:link w:val="a4"/>
    <w:uiPriority w:val="99"/>
    <w:pPr>
      <w:ind w:firstLine="426"/>
      <w:jc w:val="both"/>
    </w:pPr>
    <w:rPr>
      <w:rFonts w:ascii="TimesET" w:hAnsi="TimesET" w:cs="TimesET"/>
    </w:rPr>
  </w:style>
  <w:style w:type="character" w:customStyle="1" w:styleId="a4">
    <w:name w:val="Текст Знак"/>
    <w:link w:val="a0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macro"/>
    <w:link w:val="a6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TM" w:hAnsi="CourierTM" w:cs="CourierTM"/>
    </w:rPr>
  </w:style>
  <w:style w:type="character" w:customStyle="1" w:styleId="a6">
    <w:name w:val="Текст макросу Знак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link w:val="a8"/>
    <w:uiPriority w:val="99"/>
    <w:qFormat/>
    <w:pPr>
      <w:spacing w:before="240" w:after="60"/>
      <w:jc w:val="center"/>
    </w:pPr>
    <w:rPr>
      <w:rFonts w:ascii="Helios" w:hAnsi="Helios" w:cs="Helios"/>
      <w:b/>
      <w:bCs/>
      <w:kern w:val="28"/>
      <w:sz w:val="32"/>
      <w:szCs w:val="32"/>
    </w:rPr>
  </w:style>
  <w:style w:type="character" w:customStyle="1" w:styleId="a8">
    <w:name w:val="Назва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footer"/>
    <w:basedOn w:val="a"/>
    <w:link w:val="aa"/>
    <w:uiPriority w:val="99"/>
    <w:pPr>
      <w:tabs>
        <w:tab w:val="center" w:pos="4703"/>
        <w:tab w:val="right" w:pos="9406"/>
      </w:tabs>
    </w:pPr>
    <w:rPr>
      <w:rFonts w:ascii="TimesET" w:hAnsi="TimesET" w:cs="TimesET"/>
    </w:rPr>
  </w:style>
  <w:style w:type="character" w:customStyle="1" w:styleId="aa">
    <w:name w:val="Нижні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page number"/>
    <w:uiPriority w:val="99"/>
  </w:style>
  <w:style w:type="paragraph" w:styleId="ac">
    <w:name w:val="header"/>
    <w:basedOn w:val="a"/>
    <w:link w:val="ad"/>
    <w:uiPriority w:val="99"/>
    <w:pPr>
      <w:tabs>
        <w:tab w:val="center" w:pos="4703"/>
        <w:tab w:val="right" w:pos="9406"/>
      </w:tabs>
    </w:pPr>
    <w:rPr>
      <w:rFonts w:ascii="TimesET" w:hAnsi="TimesET" w:cs="TimesET"/>
    </w:rPr>
  </w:style>
  <w:style w:type="character" w:customStyle="1" w:styleId="ad">
    <w:name w:val="Верхній колонтитул Знак"/>
    <w:link w:val="ac"/>
    <w:uiPriority w:val="99"/>
    <w:semiHidden/>
    <w:rPr>
      <w:rFonts w:ascii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uiPriority w:val="99"/>
    <w:pPr>
      <w:tabs>
        <w:tab w:val="right" w:leader="dot" w:pos="6690"/>
      </w:tabs>
      <w:spacing w:before="60"/>
      <w:ind w:right="454"/>
    </w:pPr>
    <w:rPr>
      <w:rFonts w:ascii="TimesET" w:hAnsi="TimesET" w:cs="TimesET"/>
      <w:b/>
      <w:bCs/>
    </w:rPr>
  </w:style>
  <w:style w:type="paragraph" w:styleId="21">
    <w:name w:val="toc 2"/>
    <w:basedOn w:val="a"/>
    <w:next w:val="a"/>
    <w:uiPriority w:val="99"/>
    <w:pPr>
      <w:tabs>
        <w:tab w:val="right" w:leader="dot" w:pos="6690"/>
      </w:tabs>
      <w:ind w:left="200" w:right="453"/>
    </w:pPr>
    <w:rPr>
      <w:rFonts w:ascii="TimesET" w:hAnsi="TimesET" w:cs="TimesET"/>
    </w:rPr>
  </w:style>
  <w:style w:type="paragraph" w:styleId="31">
    <w:name w:val="toc 3"/>
    <w:basedOn w:val="a"/>
    <w:next w:val="a"/>
    <w:uiPriority w:val="99"/>
    <w:pPr>
      <w:tabs>
        <w:tab w:val="right" w:leader="dot" w:pos="6690"/>
      </w:tabs>
      <w:ind w:left="400" w:right="453"/>
    </w:pPr>
    <w:rPr>
      <w:rFonts w:ascii="TimesET" w:hAnsi="TimesET" w:cs="TimesET"/>
      <w:i/>
      <w:iCs/>
    </w:rPr>
  </w:style>
  <w:style w:type="paragraph" w:styleId="4">
    <w:name w:val="toc 4"/>
    <w:basedOn w:val="a"/>
    <w:next w:val="a"/>
    <w:uiPriority w:val="99"/>
    <w:pPr>
      <w:tabs>
        <w:tab w:val="right" w:leader="dot" w:pos="6690"/>
      </w:tabs>
      <w:ind w:left="600"/>
    </w:pPr>
    <w:rPr>
      <w:rFonts w:ascii="TimesET" w:hAnsi="TimesET" w:cs="TimesET"/>
    </w:rPr>
  </w:style>
  <w:style w:type="paragraph" w:styleId="5">
    <w:name w:val="toc 5"/>
    <w:basedOn w:val="a"/>
    <w:next w:val="a"/>
    <w:uiPriority w:val="99"/>
    <w:pPr>
      <w:tabs>
        <w:tab w:val="right" w:leader="dot" w:pos="6690"/>
      </w:tabs>
      <w:ind w:left="800"/>
    </w:pPr>
    <w:rPr>
      <w:rFonts w:ascii="TimesET" w:hAnsi="TimesET" w:cs="TimesET"/>
    </w:rPr>
  </w:style>
  <w:style w:type="paragraph" w:styleId="6">
    <w:name w:val="toc 6"/>
    <w:basedOn w:val="a"/>
    <w:next w:val="a"/>
    <w:uiPriority w:val="99"/>
    <w:pPr>
      <w:tabs>
        <w:tab w:val="right" w:leader="dot" w:pos="6690"/>
      </w:tabs>
      <w:ind w:left="1000"/>
    </w:pPr>
    <w:rPr>
      <w:rFonts w:ascii="TimesET" w:hAnsi="TimesET" w:cs="TimesET"/>
    </w:rPr>
  </w:style>
  <w:style w:type="paragraph" w:styleId="7">
    <w:name w:val="toc 7"/>
    <w:basedOn w:val="a"/>
    <w:next w:val="a"/>
    <w:uiPriority w:val="99"/>
    <w:pPr>
      <w:tabs>
        <w:tab w:val="right" w:leader="dot" w:pos="6690"/>
      </w:tabs>
      <w:ind w:left="1200"/>
    </w:pPr>
    <w:rPr>
      <w:rFonts w:ascii="TimesET" w:hAnsi="TimesET" w:cs="TimesET"/>
    </w:rPr>
  </w:style>
  <w:style w:type="paragraph" w:styleId="8">
    <w:name w:val="toc 8"/>
    <w:basedOn w:val="a"/>
    <w:next w:val="a"/>
    <w:uiPriority w:val="99"/>
    <w:pPr>
      <w:tabs>
        <w:tab w:val="right" w:leader="dot" w:pos="6690"/>
      </w:tabs>
      <w:ind w:left="1400"/>
    </w:pPr>
    <w:rPr>
      <w:rFonts w:ascii="TimesET" w:hAnsi="TimesET" w:cs="TimesET"/>
    </w:rPr>
  </w:style>
  <w:style w:type="paragraph" w:styleId="9">
    <w:name w:val="toc 9"/>
    <w:basedOn w:val="a"/>
    <w:next w:val="a"/>
    <w:uiPriority w:val="99"/>
    <w:pPr>
      <w:tabs>
        <w:tab w:val="right" w:leader="dot" w:pos="6690"/>
      </w:tabs>
      <w:ind w:left="1600"/>
    </w:pPr>
    <w:rPr>
      <w:rFonts w:ascii="TimesET" w:hAnsi="TimesET" w:cs="TimesET"/>
    </w:rPr>
  </w:style>
  <w:style w:type="paragraph" w:customStyle="1" w:styleId="1TimesNewRoman">
    <w:name w:val="Стиль Заголовок 1 + Times New Roman"/>
    <w:basedOn w:val="1"/>
    <w:uiPriority w:val="99"/>
    <w:pPr>
      <w:pageBreakBefore w:val="0"/>
      <w:spacing w:after="0"/>
      <w:ind w:firstLine="0"/>
    </w:pPr>
    <w:rPr>
      <w:rFonts w:ascii="Times New Roman" w:hAnsi="Times New Roman" w:cs="Times New Roman"/>
    </w:rPr>
  </w:style>
  <w:style w:type="paragraph" w:customStyle="1" w:styleId="2TimesNewRoman">
    <w:name w:val="Стиль Заголовок 2 + Times New Roman"/>
    <w:basedOn w:val="2"/>
    <w:uiPriority w:val="99"/>
    <w:pPr>
      <w:jc w:val="center"/>
    </w:pPr>
    <w:rPr>
      <w:rFonts w:ascii="Times New Roman" w:hAnsi="Times New Roman" w:cs="Times New Roman"/>
    </w:rPr>
  </w:style>
  <w:style w:type="character" w:customStyle="1" w:styleId="2TimesNewRoman0">
    <w:name w:val="Стиль Заголовок 2 + Times New Roman Знак"/>
    <w:uiPriority w:val="99"/>
  </w:style>
  <w:style w:type="paragraph" w:customStyle="1" w:styleId="3TimesNewRoman">
    <w:name w:val="Стиль Заголовок 3 + Times New Roman"/>
    <w:basedOn w:val="3"/>
    <w:uiPriority w:val="99"/>
    <w:pPr>
      <w:numPr>
        <w:ilvl w:val="2"/>
        <w:numId w:val="1"/>
      </w:numPr>
    </w:pPr>
    <w:rPr>
      <w:rFonts w:ascii="Times New Roman" w:hAnsi="Times New Roman" w:cs="Times New Roman"/>
    </w:rPr>
  </w:style>
  <w:style w:type="character" w:styleId="ae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Инфразвук и ульразвук</vt:lpstr>
    </vt:vector>
  </TitlesOfParts>
  <Company>PERSONAL COMPUTERS</Company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Инфразвук и ульразвук</dc:title>
  <dc:subject/>
  <dc:creator>USER</dc:creator>
  <cp:keywords/>
  <dc:description/>
  <cp:lastModifiedBy>Irina</cp:lastModifiedBy>
  <cp:revision>2</cp:revision>
  <dcterms:created xsi:type="dcterms:W3CDTF">2014-08-07T14:08:00Z</dcterms:created>
  <dcterms:modified xsi:type="dcterms:W3CDTF">2014-08-07T14:08:00Z</dcterms:modified>
</cp:coreProperties>
</file>