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047" w:rsidRDefault="00694047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Toc514477043"/>
      <w:r>
        <w:rPr>
          <w:b/>
          <w:bCs/>
          <w:color w:val="000000"/>
          <w:sz w:val="32"/>
          <w:szCs w:val="32"/>
        </w:rPr>
        <w:t>Инженерное творчество</w:t>
      </w:r>
    </w:p>
    <w:p w:rsidR="00694047" w:rsidRDefault="0069404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 Введение</w:t>
      </w:r>
      <w:bookmarkEnd w:id="0"/>
    </w:p>
    <w:p w:rsidR="00694047" w:rsidRDefault="0069404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Человечество переступило порог третьего тысячелетия. Наше общество связывает свои надежды с ожидаемыми переменами. В этих условиях недопустимо оставаться на позициях формализма и догматизма, которые в инженерной, особенно научной и учебной деятельности, нивелируют способности и оставляют в тени творческую индивидуальность личности.</w:t>
      </w:r>
    </w:p>
    <w:p w:rsidR="00694047" w:rsidRDefault="0069404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Мы считаем, что специалист, не имеющий основательной методологической подготовки, не может должным образом ориентироваться в непрерывно обновляющемся многообразии мира техники, даже в относительно узкой  "своей" специальной области, не говоря уже о межотраслевых задачах. Для полной деятельности совершенно не достаточно иметь даже очень хорошую, но относительно узкую подготовку. Необходимо сформировать свою мировоззренческую позицию, связанную с научным и инженерным творчеством в Вашей области деятельности.</w:t>
      </w:r>
    </w:p>
    <w:p w:rsidR="00694047" w:rsidRDefault="0069404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Существует много подходов к описанию процесса творчества. В одних описывается деятельность выдающихся ученых, педагогов, мыслителей, предпринимателей, артистов и других творческих личностей. Рассказывается творческая лаборатория деятельности, но нет выхода на обобщения, позволяющие говорить об общей методологии творчества. Проблемы творчества не связываются с системным подходом и законами развития систем.</w:t>
      </w:r>
    </w:p>
    <w:p w:rsidR="00694047" w:rsidRDefault="0069404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других подходах рассматриваются проблемы методологии творчества при изобретательстве и проектировании систем. Системный подход в них явно не используется,  входит как-то интуитивно и подменяется другими понятиями.</w:t>
      </w:r>
    </w:p>
    <w:p w:rsidR="00694047" w:rsidRDefault="0069404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ряде работ по системному подходу не рассматриваются  законы развития и функционирования систем.</w:t>
      </w:r>
    </w:p>
    <w:p w:rsidR="00694047" w:rsidRDefault="0069404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Много работ посвящено методам принятия решений, но они не базируются на идеях системности и законах развития систем.</w:t>
      </w:r>
    </w:p>
    <w:p w:rsidR="00694047" w:rsidRDefault="0069404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Есть рад работ, посвященных методам создания новых технических решений. Но предлагаемая в них методология не содержит взаимосвязи системного подхода, законов развития систем и методов принятия решений.</w:t>
      </w:r>
    </w:p>
    <w:p w:rsidR="00694047" w:rsidRDefault="0069404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Ряд работ посвящен анализу творческой деятельности, психологии творчества, влиянию человеческого фактора  на принятие решений, но без связи  с системным подходом, и закономерностями развития систем.</w:t>
      </w:r>
    </w:p>
    <w:p w:rsidR="00694047" w:rsidRDefault="0069404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Сегодня без ускорения научно-технического прогресса наше общество не решит своих экономических и социальных проблем. Особое внимание следует уделять анализу проблем на стыке разных наук - естественных, технических и общественных. Поэтому необходимо в общей взаимосвязи, на основе системного подхода овладение законами развития технических наук, эволюции антропогенного мира.</w:t>
      </w:r>
    </w:p>
    <w:p w:rsidR="00694047" w:rsidRDefault="0069404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Необходимо привлечь внимание к формированию мировоззренческих позиций инженеров, научных работников и преподавателей. Каждому из нас необходимо овладеть искусством системного подхода, использовать объективные законы и закономерности развития техники и на их основе принимать практические творческие решения.</w:t>
      </w:r>
    </w:p>
    <w:p w:rsidR="00694047" w:rsidRDefault="0069404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bookmarkStart w:id="1" w:name="_Toc514477044"/>
      <w:r>
        <w:rPr>
          <w:b/>
          <w:bCs/>
          <w:color w:val="000000"/>
          <w:sz w:val="28"/>
          <w:szCs w:val="28"/>
        </w:rPr>
        <w:t>2. Три составные части инженерного творчества</w:t>
      </w:r>
      <w:bookmarkEnd w:id="1"/>
    </w:p>
    <w:p w:rsidR="00694047" w:rsidRDefault="0069404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соответствии с предложенной концепцией тремя составными частями инженерного творчества являются системный подход - законы развития техники - методы принятия решений.</w:t>
      </w:r>
    </w:p>
    <w:p w:rsidR="00694047" w:rsidRDefault="0069404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Системный подход как методология изучения объекта состоит в том, что его недопустимо рассматривать без учета всей его полноты и сложности строения, целостности, взаимодействия и взаимообусловленности всех составляемых элементов между собой и со средой, из которой этот объект (система)  выделен. В сложности строения рождается новое качество, которое отсутствовало у элементов, ее составляющих. Сущность системного подхода и проста, и сложна. И ультрасовременная и древняя, как мир, ибо уходит корнями к истокам человеческой цивилизации.</w:t>
      </w:r>
    </w:p>
    <w:p w:rsidR="00694047" w:rsidRDefault="0069404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Законы развития техники должны быть основой и мощным ускорителем ее развития. </w:t>
      </w:r>
    </w:p>
    <w:p w:rsidR="00694047" w:rsidRDefault="0069404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Техника - это одно из проявлений творческой человеческой деятельности, то, что называют иногда второй природой (антропогенным миром), полагая  при этом первой природой естественный мир. Ни у кого нет желания пренебрегать объективными законами природы. А вот в антропогенном мире у людей, не ведающих о законах его развития, о характере их действия возникает соблазн «перескочить» через эти законы. В наших институтах пока, к сожалению, законы развития техники не изучаются.</w:t>
      </w:r>
    </w:p>
    <w:p w:rsidR="00694047" w:rsidRDefault="00694047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Методы принятия решений необходимы для поиска решений все более усложняющихся технических задач. Овладеть разнообразным инструментарием мыслительного процесса для интенсификации творческой деятельности   это настоятельная задача инженера уче</w:t>
      </w:r>
      <w:r>
        <w:rPr>
          <w:snapToGrid w:val="0"/>
          <w:color w:val="000000"/>
          <w:sz w:val="24"/>
          <w:szCs w:val="24"/>
        </w:rPr>
        <w:t>ного педагога. В целом речь идет о повышении общей культуры мышления, творчества в наши дни.</w:t>
      </w:r>
    </w:p>
    <w:p w:rsidR="00694047" w:rsidRDefault="00694047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Деятельность инженера, ученого педагога (учителя) должна опираться на творчество особенно в наше время. Недостаточно узкой специальной подготовки для полноценной научной и инженерной деятельности. Непрерывно обновляющееся многообразие мира техники неразрывная связь не только с естественными, но и социальными проблемами с межотраслевыми задачами требуют от специалиста основательной методологической подготовки, укрепления своих мировоззренческих позиции и совершенствования творческого арсенала. </w:t>
      </w:r>
    </w:p>
    <w:p w:rsidR="00694047" w:rsidRDefault="0069404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bookmarkStart w:id="2" w:name="_Toc514477050"/>
      <w:r>
        <w:rPr>
          <w:b/>
          <w:bCs/>
          <w:color w:val="000000"/>
          <w:sz w:val="28"/>
          <w:szCs w:val="28"/>
        </w:rPr>
        <w:t>3. Законы и закономерности развития техники.</w:t>
      </w:r>
      <w:bookmarkEnd w:id="2"/>
    </w:p>
    <w:p w:rsidR="00694047" w:rsidRDefault="0069404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3" w:name="_Toc514477051"/>
      <w:r>
        <w:rPr>
          <w:color w:val="000000"/>
          <w:sz w:val="24"/>
          <w:szCs w:val="24"/>
        </w:rPr>
        <w:t>Фундаментальные основы инженерного искусства.</w:t>
      </w:r>
      <w:bookmarkEnd w:id="3"/>
    </w:p>
    <w:p w:rsidR="00694047" w:rsidRDefault="0069404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Человек, овладевая природными и общественными условиями своего существования, создает свою – «вторую природу». Этот человеческий мир, базируясь на природе вместе с тем составляет ту великую «прибавку», которая исторически является самой молодой, но вместе с тем самой качественно сложной реальностью миро знания [3].</w:t>
      </w:r>
    </w:p>
    <w:p w:rsidR="00694047" w:rsidRDefault="0069404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Техника как часть антропогенного мира определяется как совокупность средств человеческой деятельности создаваемых в целях производства и обслуживания непосредственных потребностей общества.</w:t>
      </w:r>
    </w:p>
    <w:p w:rsidR="00694047" w:rsidRDefault="0069404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Проблема качественных различии мира «естественного» и искусственного» не нова. Однако в нашем сознании главным образом в силу несовершенства образования сложился стереотип такого убеждения, при котором «искусственному» миру как вторичному как бы предписывается исполнять только законы, действующие в «естественном» мире.</w:t>
      </w:r>
    </w:p>
    <w:p w:rsidR="00694047" w:rsidRDefault="0069404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Однако в эпоху НТР такие стереотипы не только не соответствуют фактическому положению в науке, но наносят ей непоправимый вред, ибо сама практика научного познания начинает требовать, чтобы закономерности знания об искусственном нашли свое адекватное отражение в научной картине мира и методологии.</w:t>
      </w:r>
    </w:p>
    <w:p w:rsidR="00694047" w:rsidRDefault="0069404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Одним из ярких проявлении тому служат высказывания крупного естествоиспытателя Герберта Саимона [5]. Основные положения науки об искусственном по мнению Герберта Саимона [5] сводятся к следующему:</w:t>
      </w:r>
    </w:p>
    <w:p w:rsidR="00694047" w:rsidRDefault="0069404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«Мир в котором мы живем в значительно большей мере является творением человеческих рук чем природы это гораздо более искусственный мир нежели естественный». Естественное выступает перед человеком, как непосредственно данное;  оно есть и изучается как таковое во всех его закономерностях. Искусственное же, прежде чем стать таковым, должно быть создано. Иными словами оно должно быть спроектировано и произведено.</w:t>
      </w:r>
    </w:p>
    <w:p w:rsidR="00694047" w:rsidRDefault="0069404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Между познанием человека направленным на естественный объект и познанием и деятельностью человека направленными на создание искусственных вещей есть существенное различие. Оно состоит в том, что если в первом случае в нем преобладает анализ, а во втором   синтез ».</w:t>
      </w:r>
    </w:p>
    <w:p w:rsidR="00694047" w:rsidRDefault="00694047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Сердцевина идеи Г. Саймона заключается в том, что необходимо разработать некую универсальную теорию конструирования или основы методологии создания искусственного. Он верит, что создание такой теории позволит исправить тот «флюс», который сейчас в нашем познании составляют естественно научные знания.</w:t>
      </w:r>
    </w:p>
    <w:p w:rsidR="00694047" w:rsidRDefault="00694047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Сейчас очевидным становится, что инженеру, чтобы строить конкретную действительность, исходя из потребностей общества, уже недостаточно только «всеобщей ориентации», он должен иметь под рукой «эффективные познавательные инструменты».</w:t>
      </w:r>
    </w:p>
    <w:p w:rsidR="00694047" w:rsidRDefault="00694047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Инженер, как правило, не добывает фундаментальных знаний «о природе вещей», но он добывает фундаментальные знания «о синтезе вещей». И вряд ли можно сказать, что эти исследования менее важны, чем первые. Потому что конечной целью всякого человеческого познания, да и вообще - проявления активной человеческой позиции, является не накопление знаний, как таковых, а стремление заставлять их служить себе.</w:t>
      </w:r>
    </w:p>
    <w:p w:rsidR="00694047" w:rsidRDefault="00694047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Здесь мы подходим к важному выводу, что объективное существование (точнее - сосуществование) двух типов знаний: об естественном и об искусственном - рождает два типа системных исследований, один из которых развивается на базе общетеоретической, общефилософской, другой - на специально научной.</w:t>
      </w:r>
    </w:p>
    <w:p w:rsidR="00694047" w:rsidRDefault="00694047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Если непосредственной целью естествознания является познание истины, раскрытия законов природы, то непосредственной целью технических наук является содействие человеку в практическом использовании этих законов, выяснение и обоснование их применения. Методологическое единство естествознания состоит в том, что как в природе, так и в технике люди имеют дело с единой материей, существующей и развивающейся по единым законам. Отсюда следует, что универсальные диалектико-материалистические принципы познания не могут не быть общими как для природы, так и техники.</w:t>
      </w:r>
    </w:p>
    <w:p w:rsidR="00694047" w:rsidRDefault="00694047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Обогащение материалистической диалектики, как общей теории развития, обусловливается преимущественно спецификой технического объекта, проявляющегося в том, что здесь взаимодействуют «две формы объективного процесса: природа и целеполагающая деятельность человека» [1].</w:t>
      </w:r>
    </w:p>
    <w:p w:rsidR="00694047" w:rsidRDefault="0069404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bookmarkStart w:id="4" w:name="_Toc514477054"/>
      <w:r>
        <w:rPr>
          <w:b/>
          <w:bCs/>
          <w:color w:val="000000"/>
          <w:sz w:val="28"/>
          <w:szCs w:val="28"/>
        </w:rPr>
        <w:t>4. Принятие решений на основе системного подхода</w:t>
      </w:r>
      <w:bookmarkEnd w:id="4"/>
    </w:p>
    <w:p w:rsidR="00694047" w:rsidRDefault="00694047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Сознательная жизнь человека, особенно творческая деятельность, представляет непрерывную последовательность принятия решений по многим вопросам и проблемам, вызываемым потребностью общества и его лично.</w:t>
      </w:r>
    </w:p>
    <w:p w:rsidR="00694047" w:rsidRDefault="00694047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Вследствие этого необходимо привлечь внимание к данной проблеме и попытаться разобраться и ответить на следующие вопросы.</w:t>
      </w:r>
    </w:p>
    <w:p w:rsidR="00694047" w:rsidRDefault="0069404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каких принципах (основах) зиждется методология принятия решений в творческой деятельности? Что есть общего между философской теорией познания, системным подходом и разнообразными методами принятия решений? Как разобраться и овладеть многочисленными частными приемами, и в каких областях они эффективны? Как обучаться этим методам активизации и интенсификации мыслительного процесса? Какую роль играют в этом современные компьютеры, информационно-измерительная и другая техника? Могут ли они заменить творческую деятельность человека? Достаточно ли обучать инженера, ученого лишь специальным дисциплинам по его профессии? Как не завязнуть в трясине «глухоты специализации»?</w:t>
      </w:r>
    </w:p>
    <w:p w:rsidR="00694047" w:rsidRDefault="00694047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bookmarkStart w:id="5" w:name="_Toc514477056"/>
      <w:r>
        <w:rPr>
          <w:snapToGrid w:val="0"/>
          <w:color w:val="000000"/>
          <w:sz w:val="24"/>
          <w:szCs w:val="24"/>
        </w:rPr>
        <w:t>Принятие решений. Что это такое.</w:t>
      </w:r>
      <w:bookmarkEnd w:id="5"/>
    </w:p>
    <w:p w:rsidR="00694047" w:rsidRDefault="00694047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Дадим содержательное определение понятия «принятие решения». В силу своей многоплановости оно не может быть простым, тем более - однозначным. </w:t>
      </w:r>
    </w:p>
    <w:p w:rsidR="00694047" w:rsidRDefault="00694047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Существует два понятия «принятие решения», а именно:</w:t>
      </w:r>
    </w:p>
    <w:p w:rsidR="00694047" w:rsidRDefault="00694047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- философское (общее), затрагивающее глубинные мыслительные процессы в познании мира;</w:t>
      </w:r>
    </w:p>
    <w:p w:rsidR="00694047" w:rsidRDefault="0069404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- прагматическое (конкретное), описывающее методологию решения инженерных задач.</w:t>
      </w:r>
    </w:p>
    <w:p w:rsidR="00694047" w:rsidRDefault="00694047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Прагматический аспект. Сюда мы относим многочисленные практические методы принятия решений, изложенные ниже, в том числе Акоффа, Альтшуллера и др. Принятие решения рассматривается как процесс, состоящий условно по меньшей мере из четырех этапов.</w:t>
      </w:r>
    </w:p>
    <w:p w:rsidR="00694047" w:rsidRDefault="00694047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Первый этап - исследование проблемы и постановка цели (задачи). </w:t>
      </w:r>
    </w:p>
    <w:p w:rsidR="00694047" w:rsidRDefault="00694047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Часто исследование потребности протекает медленно, часто бессознательно, а то и подспудно. Исследование потребности заканчивается постановкой задачи на разработку нового решения, на преодоление вскрытого основного противоречия.</w:t>
      </w:r>
    </w:p>
    <w:p w:rsidR="00694047" w:rsidRDefault="00694047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Второй этап - разработка альтернативных вариантов нового (искомого) решения, т.е. поиск разных путей преодоления основного противоречия.</w:t>
      </w:r>
    </w:p>
    <w:p w:rsidR="00694047" w:rsidRDefault="00694047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Третий этап - оценка и ранжирование альтернативных решений с точки зрения их приближения к требованиям, сформулированным в процессе постановки задачи. </w:t>
      </w:r>
    </w:p>
    <w:p w:rsidR="00694047" w:rsidRDefault="00694047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Четвертый этап - тесно связан с предыдущими, как и все между собой. После выбора и утверждения одного из альтернативных вариантов необходимо глубокое и системное осмысление полученного результата, какие новые проблемы порождаются? Если результаты неудовлетворительны, то необходимо вернуться к начальной стадии процесса, к следующему витку поиска решения.</w:t>
      </w:r>
    </w:p>
    <w:p w:rsidR="00694047" w:rsidRDefault="0069404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bookmarkStart w:id="6" w:name="_Toc514477060"/>
      <w:r>
        <w:rPr>
          <w:b/>
          <w:bCs/>
          <w:snapToGrid w:val="0"/>
          <w:color w:val="000000"/>
          <w:sz w:val="28"/>
          <w:szCs w:val="28"/>
        </w:rPr>
        <w:t>Методы направленного поиска решения инженерных задач</w:t>
      </w:r>
      <w:bookmarkEnd w:id="6"/>
    </w:p>
    <w:p w:rsidR="00694047" w:rsidRDefault="0069404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Теория и алгоритм решения изобретательских задач (ТРИЗ и ЛРИЗ)Г.С.Альтшулдера.</w:t>
      </w:r>
    </w:p>
    <w:p w:rsidR="00694047" w:rsidRDefault="00694047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Эти приемы разработаны известным изобретателем Г.С. Альтщуллером [6-8]. В основе ТРИЗ лежит представление о закономерном развитии технических систем , а также патентный фонд, содержащий описание многих миллионов изобретений, справочный фонд физических эффектов и явлений. На базе ТРИЗ создан ряд алгоритмов решения изобретательских задач АРИЗ 77 и ТРИЗ-85 как альтернатива малоэффективному и неперспективному старому способу «проб и ошибок» и другим методам.</w:t>
      </w:r>
    </w:p>
    <w:p w:rsidR="00694047" w:rsidRDefault="00694047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ТРИЗ (теория решения изобретательских задач) является в настоящее время единственной методологией поиска новых решений, дающей стабильные положительные результаты, доступной для массового изучения и использования в производственных условиях. Так считают многие сторонники и последователи Г С Альтшуллера разработавшие «изобретающую машину».</w:t>
      </w:r>
    </w:p>
    <w:p w:rsidR="00694047" w:rsidRDefault="00694047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Теоретическим фундаментом ТРИЗ, наряду с законами развития технических систем, является анализ и обработка больших массивов патентной информации. В качестве ключевых понятий в ТРИЗ выступают:</w:t>
      </w:r>
    </w:p>
    <w:p w:rsidR="00694047" w:rsidRDefault="00694047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- изобретательская ситуация (описание технической системы с указанием на тот либо иной недостаток);</w:t>
      </w:r>
    </w:p>
    <w:p w:rsidR="00694047" w:rsidRDefault="00694047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- техническое противоречие. Это понятие основывается на том, что поскольку техническая система представляет собой целостный «организм» (систему), то попытки улучшения одной ее части (функции, свойства) приводят к неминуемому ухудшению других частей.</w:t>
      </w:r>
    </w:p>
    <w:p w:rsidR="00694047" w:rsidRDefault="00694047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Решить изобретательскую задачу - значит выявить и устранить техническое противоречие.</w:t>
      </w:r>
    </w:p>
    <w:p w:rsidR="00694047" w:rsidRDefault="0069404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Алгоритм решения изобретательских задач (АРИЗ) - пример применения материалистической диалектики и системного подхода к процессу технического творчества. Методика основана на учении о технических противоречиях (ТРИЗ). «Процесс решения - это последовательность операций по выявлению, уточнению и преодолению технического противоречия. Последовательность, направленность и активизация мышления достигаются при этом ориентировкой на идеальный конечный результат (ИКР), т.е. идеальное решение, способ, устройство».</w:t>
      </w:r>
    </w:p>
    <w:p w:rsidR="00694047" w:rsidRDefault="0069404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bookmarkStart w:id="7" w:name="_Toc514477064"/>
      <w:r>
        <w:rPr>
          <w:b/>
          <w:bCs/>
          <w:color w:val="000000"/>
          <w:sz w:val="28"/>
          <w:szCs w:val="28"/>
        </w:rPr>
        <w:t>Список литературы</w:t>
      </w:r>
    </w:p>
    <w:bookmarkEnd w:id="7"/>
    <w:p w:rsidR="00694047" w:rsidRDefault="0069404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Уемов А. И. Системный подход и общая теория систем М.: Мысль 1982 246с.</w:t>
      </w:r>
    </w:p>
    <w:p w:rsidR="00694047" w:rsidRDefault="0069404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Балашов Е. П. Эволюционный синтез систем М.: Радио и связь. 1985 328с</w:t>
      </w:r>
    </w:p>
    <w:p w:rsidR="00694047" w:rsidRDefault="0069404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Кузьмин П. К. Принципы системности в теории и методологии К. Маркса. М. Политиздат, 1986. 399с.</w:t>
      </w:r>
    </w:p>
    <w:p w:rsidR="00694047" w:rsidRDefault="0069404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Самарин В. В. Техника и общество. Социально философские проблемы развития техники. М.: Мысль 1988. 143с.</w:t>
      </w:r>
    </w:p>
    <w:p w:rsidR="00694047" w:rsidRDefault="0069404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 Саймон Герберт. Наука об искусственном. М. Мир 1972 216с.</w:t>
      </w:r>
    </w:p>
    <w:p w:rsidR="00694047" w:rsidRDefault="0069404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 Альтшуллер Г.С. Алгоритм изобретательства, 2-е изд. М.: Московский рабочий. 1973,164с.</w:t>
      </w:r>
    </w:p>
    <w:p w:rsidR="00694047" w:rsidRDefault="0069404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 Альтшуллер Г.С. Творчество как точная наука. М.: Сов радио, 1979, 216с.</w:t>
      </w:r>
    </w:p>
    <w:p w:rsidR="00694047" w:rsidRDefault="0069404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8. Альтшулдер Г.С. Найти идею. Введение в теорию решения изобретательских задач. Новосибирск</w:t>
      </w:r>
      <w:r>
        <w:rPr>
          <w:color w:val="000000"/>
          <w:sz w:val="24"/>
          <w:szCs w:val="24"/>
          <w:lang w:val="en-US"/>
        </w:rPr>
        <w:t>:</w:t>
      </w:r>
      <w:r>
        <w:rPr>
          <w:color w:val="000000"/>
          <w:sz w:val="24"/>
          <w:szCs w:val="24"/>
        </w:rPr>
        <w:t xml:space="preserve"> Наука. 1985. 196с</w:t>
      </w:r>
      <w:bookmarkStart w:id="8" w:name="_GoBack"/>
      <w:bookmarkEnd w:id="8"/>
    </w:p>
    <w:sectPr w:rsidR="00694047">
      <w:pgSz w:w="11907" w:h="16840" w:code="9"/>
      <w:pgMar w:top="1134" w:right="1134" w:bottom="1134" w:left="1134" w:header="1440" w:footer="1440" w:gutter="0"/>
      <w:pgNumType w:start="2"/>
      <w:cols w:space="6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2520B"/>
    <w:multiLevelType w:val="singleLevel"/>
    <w:tmpl w:val="5558832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F486E4F"/>
    <w:multiLevelType w:val="singleLevel"/>
    <w:tmpl w:val="2240364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>
    <w:nsid w:val="153E1833"/>
    <w:multiLevelType w:val="multilevel"/>
    <w:tmpl w:val="20C8E632"/>
    <w:lvl w:ilvl="0">
      <w:start w:val="4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3"/>
      <w:numFmt w:val="decimal"/>
      <w:lvlText w:val="%1.%2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0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0FCC"/>
    <w:rsid w:val="000619D5"/>
    <w:rsid w:val="00694047"/>
    <w:rsid w:val="00BA1AFB"/>
    <w:rsid w:val="00DC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4444CDE-970A-461A-A1ED-19A7D7487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28"/>
      <w:sz w:val="30"/>
      <w:szCs w:val="30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line="360" w:lineRule="auto"/>
      <w:ind w:firstLine="567"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line="360" w:lineRule="auto"/>
      <w:ind w:firstLine="567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autoRedefine/>
    <w:uiPriority w:val="99"/>
    <w:qFormat/>
    <w:pPr>
      <w:keepNext/>
      <w:ind w:firstLine="567"/>
      <w:jc w:val="center"/>
      <w:outlineLvl w:val="3"/>
    </w:pPr>
    <w:rPr>
      <w:noProof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pPr>
      <w:keepNext/>
      <w:spacing w:line="360" w:lineRule="auto"/>
      <w:ind w:firstLine="567"/>
      <w:outlineLvl w:val="4"/>
    </w:pPr>
    <w:rPr>
      <w:color w:val="FF00FF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firstLine="567"/>
      <w:outlineLvl w:val="5"/>
    </w:pPr>
    <w:rPr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pPr>
      <w:keepNext/>
      <w:outlineLvl w:val="6"/>
    </w:pPr>
    <w:rPr>
      <w:b/>
      <w:bCs/>
      <w:sz w:val="32"/>
      <w:szCs w:val="32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567"/>
      <w:outlineLvl w:val="7"/>
    </w:pPr>
    <w:rPr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pPr>
      <w:keepNext/>
      <w:outlineLvl w:val="8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b/>
      <w:bCs/>
    </w:rPr>
  </w:style>
  <w:style w:type="character" w:customStyle="1" w:styleId="70">
    <w:name w:val="Заголовок 7 Знак"/>
    <w:link w:val="7"/>
    <w:uiPriority w:val="9"/>
    <w:semiHidden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paragraph" w:styleId="a3">
    <w:name w:val="Document Map"/>
    <w:basedOn w:val="a"/>
    <w:link w:val="a4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a4">
    <w:name w:val="Схема документа Знак"/>
    <w:link w:val="a3"/>
    <w:uiPriority w:val="99"/>
    <w:semiHidden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rPr>
      <w:sz w:val="24"/>
      <w:szCs w:val="24"/>
    </w:rPr>
  </w:style>
  <w:style w:type="character" w:customStyle="1" w:styleId="22">
    <w:name w:val="Основной текст 2 Знак"/>
    <w:link w:val="21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3">
    <w:name w:val="Body Text Indent 2"/>
    <w:basedOn w:val="a"/>
    <w:link w:val="24"/>
    <w:uiPriority w:val="99"/>
    <w:pPr>
      <w:spacing w:line="360" w:lineRule="auto"/>
      <w:ind w:firstLine="567"/>
    </w:pPr>
    <w:rPr>
      <w:sz w:val="24"/>
      <w:szCs w:val="24"/>
    </w:rPr>
  </w:style>
  <w:style w:type="character" w:customStyle="1" w:styleId="24">
    <w:name w:val="Основной текст с отступом 2 Знак"/>
    <w:link w:val="2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Body Text"/>
    <w:basedOn w:val="a"/>
    <w:link w:val="a6"/>
    <w:uiPriority w:val="99"/>
    <w:pPr>
      <w:spacing w:line="360" w:lineRule="auto"/>
    </w:pPr>
    <w:rPr>
      <w:sz w:val="28"/>
      <w:szCs w:val="28"/>
    </w:rPr>
  </w:style>
  <w:style w:type="character" w:customStyle="1" w:styleId="a6">
    <w:name w:val="Основной текст Знак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widowControl w:val="0"/>
      <w:ind w:firstLine="140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rPr>
      <w:rFonts w:ascii="Times New Roman" w:hAnsi="Times New Roman" w:cs="Times New Roman"/>
      <w:sz w:val="16"/>
      <w:szCs w:val="16"/>
    </w:rPr>
  </w:style>
  <w:style w:type="paragraph" w:styleId="11">
    <w:name w:val="index 1"/>
    <w:basedOn w:val="a"/>
    <w:next w:val="a"/>
    <w:autoRedefine/>
    <w:uiPriority w:val="99"/>
    <w:pPr>
      <w:ind w:left="200" w:hanging="200"/>
    </w:pPr>
  </w:style>
  <w:style w:type="paragraph" w:styleId="a7">
    <w:name w:val="table of figures"/>
    <w:basedOn w:val="a"/>
    <w:next w:val="a"/>
    <w:uiPriority w:val="99"/>
    <w:pPr>
      <w:ind w:left="400" w:hanging="400"/>
    </w:pPr>
  </w:style>
  <w:style w:type="paragraph" w:styleId="25">
    <w:name w:val="index 2"/>
    <w:basedOn w:val="a"/>
    <w:next w:val="a"/>
    <w:autoRedefine/>
    <w:uiPriority w:val="99"/>
    <w:pPr>
      <w:ind w:left="400" w:hanging="200"/>
    </w:pPr>
  </w:style>
  <w:style w:type="paragraph" w:styleId="33">
    <w:name w:val="index 3"/>
    <w:basedOn w:val="a"/>
    <w:next w:val="a"/>
    <w:autoRedefine/>
    <w:uiPriority w:val="99"/>
    <w:pPr>
      <w:ind w:left="600" w:hanging="200"/>
    </w:pPr>
  </w:style>
  <w:style w:type="paragraph" w:styleId="41">
    <w:name w:val="index 4"/>
    <w:basedOn w:val="a"/>
    <w:next w:val="a"/>
    <w:autoRedefine/>
    <w:uiPriority w:val="99"/>
    <w:pPr>
      <w:ind w:left="800" w:hanging="200"/>
    </w:pPr>
  </w:style>
  <w:style w:type="paragraph" w:styleId="51">
    <w:name w:val="index 5"/>
    <w:basedOn w:val="a"/>
    <w:next w:val="a"/>
    <w:autoRedefine/>
    <w:uiPriority w:val="99"/>
    <w:pPr>
      <w:ind w:left="1000" w:hanging="200"/>
    </w:pPr>
  </w:style>
  <w:style w:type="paragraph" w:styleId="61">
    <w:name w:val="index 6"/>
    <w:basedOn w:val="a"/>
    <w:next w:val="a"/>
    <w:autoRedefine/>
    <w:uiPriority w:val="99"/>
    <w:pPr>
      <w:ind w:left="1200" w:hanging="200"/>
    </w:pPr>
  </w:style>
  <w:style w:type="paragraph" w:styleId="71">
    <w:name w:val="index 7"/>
    <w:basedOn w:val="a"/>
    <w:next w:val="a"/>
    <w:autoRedefine/>
    <w:uiPriority w:val="99"/>
    <w:pPr>
      <w:ind w:left="1400" w:hanging="200"/>
    </w:pPr>
  </w:style>
  <w:style w:type="paragraph" w:styleId="81">
    <w:name w:val="index 8"/>
    <w:basedOn w:val="a"/>
    <w:next w:val="a"/>
    <w:autoRedefine/>
    <w:uiPriority w:val="99"/>
    <w:pPr>
      <w:ind w:left="1600" w:hanging="200"/>
    </w:pPr>
  </w:style>
  <w:style w:type="paragraph" w:styleId="91">
    <w:name w:val="index 9"/>
    <w:basedOn w:val="a"/>
    <w:next w:val="a"/>
    <w:autoRedefine/>
    <w:uiPriority w:val="99"/>
    <w:pPr>
      <w:ind w:left="1800" w:hanging="200"/>
    </w:pPr>
  </w:style>
  <w:style w:type="paragraph" w:styleId="a8">
    <w:name w:val="index heading"/>
    <w:basedOn w:val="a"/>
    <w:next w:val="11"/>
    <w:uiPriority w:val="99"/>
  </w:style>
  <w:style w:type="paragraph" w:styleId="12">
    <w:name w:val="toc 1"/>
    <w:basedOn w:val="a"/>
    <w:next w:val="a"/>
    <w:autoRedefine/>
    <w:uiPriority w:val="99"/>
  </w:style>
  <w:style w:type="paragraph" w:styleId="26">
    <w:name w:val="toc 2"/>
    <w:basedOn w:val="a"/>
    <w:next w:val="a"/>
    <w:autoRedefine/>
    <w:uiPriority w:val="99"/>
    <w:pPr>
      <w:ind w:left="200"/>
    </w:pPr>
  </w:style>
  <w:style w:type="paragraph" w:styleId="34">
    <w:name w:val="toc 3"/>
    <w:basedOn w:val="a"/>
    <w:next w:val="a"/>
    <w:autoRedefine/>
    <w:uiPriority w:val="99"/>
    <w:pPr>
      <w:ind w:left="400"/>
    </w:pPr>
  </w:style>
  <w:style w:type="paragraph" w:styleId="42">
    <w:name w:val="toc 4"/>
    <w:basedOn w:val="a"/>
    <w:next w:val="a"/>
    <w:autoRedefine/>
    <w:uiPriority w:val="99"/>
    <w:pPr>
      <w:tabs>
        <w:tab w:val="right" w:leader="dot" w:pos="9628"/>
      </w:tabs>
      <w:ind w:left="600"/>
    </w:pPr>
    <w:rPr>
      <w:noProof/>
    </w:rPr>
  </w:style>
  <w:style w:type="paragraph" w:styleId="52">
    <w:name w:val="toc 5"/>
    <w:basedOn w:val="a"/>
    <w:next w:val="a"/>
    <w:autoRedefine/>
    <w:uiPriority w:val="99"/>
    <w:pPr>
      <w:ind w:left="800"/>
    </w:pPr>
  </w:style>
  <w:style w:type="paragraph" w:styleId="62">
    <w:name w:val="toc 6"/>
    <w:basedOn w:val="a"/>
    <w:next w:val="a"/>
    <w:autoRedefine/>
    <w:uiPriority w:val="99"/>
    <w:pPr>
      <w:ind w:left="1000"/>
    </w:pPr>
  </w:style>
  <w:style w:type="paragraph" w:styleId="72">
    <w:name w:val="toc 7"/>
    <w:basedOn w:val="a"/>
    <w:next w:val="a"/>
    <w:autoRedefine/>
    <w:uiPriority w:val="99"/>
    <w:pPr>
      <w:ind w:left="1200"/>
    </w:pPr>
  </w:style>
  <w:style w:type="paragraph" w:styleId="82">
    <w:name w:val="toc 8"/>
    <w:basedOn w:val="a"/>
    <w:next w:val="a"/>
    <w:autoRedefine/>
    <w:uiPriority w:val="99"/>
    <w:pPr>
      <w:ind w:left="1400"/>
    </w:pPr>
  </w:style>
  <w:style w:type="paragraph" w:styleId="92">
    <w:name w:val="toc 9"/>
    <w:basedOn w:val="a"/>
    <w:next w:val="a"/>
    <w:autoRedefine/>
    <w:uiPriority w:val="99"/>
    <w:pPr>
      <w:ind w:left="1600"/>
    </w:p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link w:val="ab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d">
    <w:name w:val="page number"/>
    <w:uiPriority w:val="99"/>
  </w:style>
  <w:style w:type="paragraph" w:styleId="ae">
    <w:name w:val="Block Text"/>
    <w:basedOn w:val="a"/>
    <w:uiPriority w:val="99"/>
    <w:pPr>
      <w:spacing w:line="280" w:lineRule="auto"/>
      <w:ind w:left="40" w:right="-6" w:firstLine="527"/>
    </w:pPr>
    <w:rPr>
      <w:sz w:val="24"/>
      <w:szCs w:val="24"/>
    </w:rPr>
  </w:style>
  <w:style w:type="paragraph" w:styleId="35">
    <w:name w:val="Body Text 3"/>
    <w:basedOn w:val="a"/>
    <w:link w:val="36"/>
    <w:uiPriority w:val="99"/>
    <w:pPr>
      <w:jc w:val="both"/>
    </w:pPr>
    <w:rPr>
      <w:sz w:val="24"/>
      <w:szCs w:val="24"/>
    </w:rPr>
  </w:style>
  <w:style w:type="character" w:customStyle="1" w:styleId="36">
    <w:name w:val="Основной текст 3 Знак"/>
    <w:link w:val="35"/>
    <w:uiPriority w:val="99"/>
    <w:semiHidden/>
    <w:rPr>
      <w:rFonts w:ascii="Times New Roman" w:hAnsi="Times New Roman" w:cs="Times New Roman"/>
      <w:sz w:val="16"/>
      <w:szCs w:val="16"/>
    </w:rPr>
  </w:style>
  <w:style w:type="character" w:styleId="af">
    <w:name w:val="Hyperlink"/>
    <w:uiPriority w:val="99"/>
    <w:rPr>
      <w:color w:val="0000FF"/>
      <w:u w:val="single"/>
    </w:rPr>
  </w:style>
  <w:style w:type="character" w:styleId="af0">
    <w:name w:val="FollowedHyperlink"/>
    <w:uiPriority w:val="99"/>
    <w:rPr>
      <w:color w:val="800080"/>
      <w:u w:val="single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line="320" w:lineRule="auto"/>
    </w:pPr>
    <w:rPr>
      <w:rFonts w:ascii="Arial" w:hAnsi="Arial" w:cs="Arial"/>
      <w:sz w:val="12"/>
      <w:szCs w:val="1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9244</Words>
  <Characters>5270</Characters>
  <Application>Microsoft Office Word</Application>
  <DocSecurity>0</DocSecurity>
  <Lines>43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ГУРЭП</Company>
  <LinksUpToDate>false</LinksUpToDate>
  <CharactersWithSpaces>14486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Сотрудник</dc:creator>
  <cp:keywords/>
  <dc:description/>
  <cp:lastModifiedBy>admin</cp:lastModifiedBy>
  <cp:revision>2</cp:revision>
  <cp:lastPrinted>2001-05-12T16:55:00Z</cp:lastPrinted>
  <dcterms:created xsi:type="dcterms:W3CDTF">2014-01-26T16:44:00Z</dcterms:created>
  <dcterms:modified xsi:type="dcterms:W3CDTF">2014-01-26T16:44:00Z</dcterms:modified>
</cp:coreProperties>
</file>