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3E314D">
        <w:rPr>
          <w:b/>
          <w:noProof/>
          <w:color w:val="000000"/>
          <w:sz w:val="28"/>
          <w:szCs w:val="30"/>
        </w:rPr>
        <w:t>Введение</w:t>
      </w:r>
    </w:p>
    <w:p w:rsidR="004B752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>Приоритетным направлением развития современной России является переход к инновационной экономике и социально ориентированной политике государства. На данном этапе Россия, по распространенному мнению, является «сырьевым придатком» для многих стран как Европы, так и Азии. Отсутствие эффективной научно-технологической базы выводит Россию за рамки мировой конкурентной среды и вынуждает заниматься поставками различного сырья (нефть, газ, лес и т.д.) за границу, а готовый продукт покупать у тех же европейских и азиатских стран. На этом фоне всплывают соответствующие экономические, социальные, геополитические и др. проблемы.</w:t>
      </w:r>
    </w:p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0"/>
        </w:rPr>
      </w:pPr>
    </w:p>
    <w:p w:rsidR="00660A6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b/>
          <w:bCs/>
          <w:noProof/>
          <w:color w:val="000000"/>
          <w:sz w:val="28"/>
          <w:szCs w:val="30"/>
        </w:rPr>
        <w:br w:type="page"/>
      </w:r>
      <w:r w:rsidR="00660A67" w:rsidRPr="003E314D">
        <w:rPr>
          <w:b/>
          <w:bCs/>
          <w:noProof/>
          <w:color w:val="000000"/>
          <w:sz w:val="28"/>
          <w:szCs w:val="30"/>
        </w:rPr>
        <w:t>Венчурные фонды как институт развития инновационной экономики</w:t>
      </w:r>
    </w:p>
    <w:p w:rsidR="004B752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Каким образом государство может из «сырьевого придатка» превратиться в реального производителя и поставщика качественной и инновационной продукции, развив научно-технологический фундамент, конкурировать с субъектами мирового рынка и, способствовать росту материального благополучия общества?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Одним из инструментов достижения инновационного преимущества является институт венчурного («venture» – англ., «рискованное предприятие или начинание») инвестирования, частным случаем которого являются венчурные фонды.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Венчурные фонды – это имущественный комплекс, состоящий из средств профессиональных фирм, государства, а также частных лиц, которые инвестируют и совместно управляют новыми частными компаниями или развивающимися компаниями, демонстрирующими высокий потенциал роста. В связи с чем, венчурные фонды, как правило, создаются в форме закрытых паевых инвестиционных фондов (ЗПИФ), что исключает возможность преждевременного изъятия средств из фонда и ориентирует участников фонда на длительный срок инвестирования.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Субъектами венчурного инвестирования могут быть: частные и институциональные инвесторы, инвестиционные фонды, страховые компании, пенсионные фонды, международные организации, государство.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Объектами инвестирования могут быть инновационные проекты в различных отраслях экономики: телекоммуникации, нано-технологии, строительство, медицина, биотехнологии, энергетика и т.д., из которых «приоритетом пользуются такие сферы, как пищевая (27 %) и телекоммуникации (25 %).Следующий блок включает в себя медицину и фармацевтику (9 %), стройматериалы и потребительские товары и услуги (по 8 %)».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Необходимо еще раз подчеркнуть, что венчурные фонды – инструмент инвестирования с повышенным риском. Т.е. из десяти объектов инвестирования девять могут быть убыточными. Но доход десятого объекта может скомпенсировать все расходы и убытки.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Актуализация развития венчурных фондов в России связана с историческими предпосылками и реальными примерами внедрения венчурных инвестиций в экономике разных стран.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История развития венчурных фондов началась в США, где они появились уже в 50-60 годах 20 века, когда США финансировало государственные средства в растущий малый бизнес, при условии одновременного привлечения средств со стороны частных инвесторов в соотношении 2:1 или 3:1. Многие достижения современного общества были бы невозможны без венчурного капитала. Microsoft, Xerox, Canon, IBM, Hewlett&amp;Packard – все это примеры удачных рисковых вложений, которые ныне являются локомотивом нового информационного общества и экономики.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Для России венчурное инвестирование – инструмент сравнительно новый. Первые венчурные фонды были сформированы под эгидой Европейского Банка Реконструкции и Развития в середине 90-х годов в целях содействия развитию российских регионов.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На сегодняшний день, как пишет Вешняков: «Венчурное инвестирование занимает значительное место в экономике индустриально развитых стран, доказав свою эффективность как альтернативная форма финансирования малого и среднего бизнеса».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На наш взгляд, венчурные фонды как инструменты, ориентирующиеся на инвестирование в новые технологии, могут способствовать развитию инновационной экономики страны. Стимулируя развитие венчурных фондов государство, тем самым, может решать приоритетные задачи. В нашем случае это развитие наукоемких отраслей производства, развитие регионов а также развитие малого бизнеса, являющегося одним из необходимых условий формирования среднего класса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Основным источником инвестиций в венчурные фонды являются институциональные инвесторы (крупные банки, корпорации, фонды), способные адекватно оценить степень риска в конкретный проект, а также ориентироваться на длительные сроки инвестирования. Подключение капитала крупных корпораций могло бы дать дополнительный толчок к развитию компаний, нуждающихся в венчурном капитале.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Так, например, в 2000 году в России был сформирован Венчурный инвестиционный фонд (ВИФ). ВИФ - это государственный фонд с капиталом в 10 млн. долларов. Идея этого фонда следующая: любой венчурный фонд может получить у него 1 млн. долларов при условии, что это составило бы 10% от общего их капитала. Планировалось создать 10 фондов по 10 млн.долларов каждый.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В 2006 была создана Российская венчурная компания (РВК). «РВК создается для инвестирования в венчурные фонды. …Это будет фонд фондов. Таких закрытых паевых фондов за счет капитала РВК планируется создать 10-15 с долей государства 49%. Они, в свою очередь, профинансируют от 100 до 200 российских "старт-апов"».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noProof/>
          <w:color w:val="000000"/>
          <w:sz w:val="28"/>
          <w:szCs w:val="30"/>
        </w:rPr>
      </w:pPr>
      <w:r w:rsidRPr="003E314D">
        <w:rPr>
          <w:b/>
          <w:bCs/>
          <w:iCs/>
          <w:noProof/>
          <w:color w:val="000000"/>
          <w:sz w:val="28"/>
          <w:szCs w:val="30"/>
        </w:rPr>
        <w:t>Инновации и социальная сфера жизни современного общества</w:t>
      </w:r>
    </w:p>
    <w:p w:rsidR="004B752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С точки зрения современного состояния мироустройства и социокультурных аспектов глобализации важность и значимость инноваций во всех сферах жизни общества трудно переоценить. Сам термин, который со все возрастающей частотностью встречается на различных носителях информации и в различных областях научного знания, имеет достаточно длительную историю своего развития. Эволюционируя, он приобрел множество истолкований и собственных производных. Но, в данный момент, трудно говорить, что сложилась четкая традиция употребления и использования термина «инновация». Итак, сделаем краткий экскурс в прошедшие столетия.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Впервые слово инновация было использовано французами в 1297 году и вплоть до ХХ века упоминается исключительно в лингвистике, процессуальном праве и ботанике как узкий специальный термин. В научных исследованиях понятие «инновация» появилось в ХIX веке, и получило широкое использование в этнографических исследованиях.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Оно связывалось в основном с процессом диффузии как процессом введения элементов одной культуры в другую. Наряду с этим при возрастании интереса к термину инновация весь двадцатый век происходит процесс преодоления неопределенности и многозначности его употребления. Достаточно развернутый и исчерпывающий анализ «инновации» дает нам научная работа Ю.А. Карповой. Автор предлагает остановиться на двух аспектах: первый, понятие «инновация» обозначает некий результат (новшество, крупное новшество, внедренное новшество) и, второй, оно обозначает и процесс внедрения новшества (введение новшества, акт инновации и т.п.)12.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Другими словами, «инновация» может быть и продуктом деятельности социальных групп и самой деятельностью субъекта. Как справедливо замечет Ю.М. Плотинский, необходимо учитывать также, что специфика инноваций в различных сферах жизни общества существенно затрудняет формулировку единого, удобного для всех случаев определения13 Близкой к социологии является определение «инновации», принятое в социальной культурологии. Так, инновация понимается как изобретение новых идей, образов, принципов действия, политических и социальных программ, выработка новых форм деятельности, организации общества или его институтов, появление нового стиля мышления или чувствования.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Носителями новаторства могут выступать пророки, мудрецы, правители, деятели культуры, ученые или новаторские группы, стремящиеся повысить свой статус, выделиться в данном обществе, часто являющиеся в нем "авангардом", "диссидентами" или "маргиналами". Среди носителей новаторства часто оказываются выходцы из других стран, а также представители активных слоев общества, не находящие себе достойного места в существующей общественной системе.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Обобщая опыт ученых можно сказать, что термин инновация зачастую рассматривается в дихотомии с традицией. Другими словами, инновация – это явление (или факт) культуры, который противостоит традиции. Таким образом, любое изобретение человечества, изменившее жизнь многих обществ можно причислить к «инновационному продукту». И таких «продуктов» было не мало – использование огня, изобретение колеса, изобретение книгопечатания и т.п. Все эти и многие другие достижения и приобретения человечества дали ему возможность переходить от одного типа развития к другому. Соответственно, одно это уже наталкивает исследователя на мысль, что изменяются все элементы общества и инновации пронизывают все его структуры.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Если перейти от элементов и структур к «живым» носителям (индивиду, социальной группе, социальной общности и обществам), то встает вопрос о деятеле или агенте социальных изменений. И здесь, казалось бы, очевиден ответ - те, кто инициирует инновации, те и идентифицируются как инноваторы. Вот тут и возникает сложность изучения, так как априори все субъекты инновационных процессов потенциально могут стать инноваторами.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Таким образом, можно различить два уровня исследовательского интереса: во-первых, формирование социологической концепции инновации на различных этапах и, во-вторых, анализ существующих тенденций и практик использования термина «инновация». Предварительный обзор дает нам основания утверждать, что собственно социологическая концепция инновации включает в себя результаты усилий многих ученых, которые являются представителями экономики, социальной культурологии, психологии и ряда других наук.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Выделение же специальной науки инноватики приблизило время уточнения ключевых понятий и определений, подчеркнула динамизм и стремительный характер общественного развития информационной эпохи.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Затрагивая вопросы широкого использования термина «инновация» в различных областях научного знания, можно утверждать, что на данный момент наибольшей популярностью пользуются принципы системного подхода, реализуемые на практике в ходе построения инновационной системы России. Кроме того, интенсивно развивается и популяризируется субъектный подход к инновации, когда деятель способен изменять и внешний и внутренний мир. И, наконец, на фоне вышеназванного, пик популярности в настоящее время переживает сфера интересов инновационного менеджмента, фиксируемая не просто как учебная дисциплина, но и как новая парадигма управления обществом и его структурами.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Все эти три направления исследования феномена инновации неизбежно взаимосвязаны между собой, одновременно с этим наблюдается стремление сохранить свое право на содержательное наполнение термина «инновация». Сложившуюся ситуацию можно пояснить рядом причин: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1) Возрастание интереса к использованию термина «инновация» в различных областях научного знания, опирающихся на свой предмет, метод и теорию;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2) Закрепление в массовом сознании представлений об инновации как технологическом новшестве, либо как особой характеристикой изобретателя вследствие процессов НТР и НТП;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3) Длительность феномена накопления инноваций, и, следовательно, их оценки в социокультурном смысле;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4) Трудность прогнозирования эффектов внедрения инноваций во все сферы общественной жизни (позитивные и негативные последствия);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В общем и целом можно утверждать, что успех инноваций зависит от степени их распространения и воздействия во всех сферах жизни общества, точнее, от стадии инновационного развития. Именно на этом пути наука может и должна стать направляющим консультантом и равноправным участником происходящих процессов. </w:t>
      </w:r>
    </w:p>
    <w:p w:rsidR="00224BC1" w:rsidRPr="003E314D" w:rsidRDefault="00224BC1" w:rsidP="004B7527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3E314D">
        <w:rPr>
          <w:b/>
          <w:noProof/>
          <w:color w:val="000000"/>
          <w:sz w:val="28"/>
          <w:szCs w:val="30"/>
        </w:rPr>
        <w:t>Проблемы становления ин</w:t>
      </w:r>
      <w:r w:rsidR="004B7527" w:rsidRPr="003E314D">
        <w:rPr>
          <w:b/>
          <w:noProof/>
          <w:color w:val="000000"/>
          <w:sz w:val="28"/>
          <w:szCs w:val="30"/>
        </w:rPr>
        <w:t>формационного общества в России</w:t>
      </w:r>
    </w:p>
    <w:p w:rsidR="004B752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Под влиянием взрывного развития всех видов информационных технологий осуществляется переход человечества в </w:t>
      </w:r>
      <w:r w:rsidRPr="003E314D">
        <w:rPr>
          <w:iCs/>
          <w:noProof/>
          <w:color w:val="000000"/>
          <w:sz w:val="28"/>
          <w:szCs w:val="30"/>
        </w:rPr>
        <w:t xml:space="preserve">информационное общество. </w:t>
      </w:r>
      <w:r w:rsidRPr="003E314D">
        <w:rPr>
          <w:noProof/>
          <w:color w:val="000000"/>
          <w:sz w:val="28"/>
          <w:szCs w:val="30"/>
        </w:rPr>
        <w:t xml:space="preserve">Информационная эра проявляет свои качества в переводе в информационную плоскость всего того, что ранее понималось как явление прямого действительного действия. Возрастающая роль информации и информационных систем – исторический факт, лежащий в основе концепций информационного общества (Е.Масуда, Д.Белл, А.Тоффлер и др.).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Существенное отличие строящегося «информационного общества» от предыдущих эпох выражается в следующем: </w:t>
      </w:r>
    </w:p>
    <w:p w:rsidR="00660A67" w:rsidRPr="003E314D" w:rsidRDefault="00660A67" w:rsidP="004B75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Информационные технологии поднимают на неведомую ранее высоту значение знания и информационных потоков; </w:t>
      </w:r>
    </w:p>
    <w:p w:rsidR="00660A67" w:rsidRPr="003E314D" w:rsidRDefault="00660A67" w:rsidP="004B75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Технологиями обработки информации и коммуникацией обусловлено (и даже вызвано) ядро трансформаций, которые переживает современный мир; </w:t>
      </w:r>
    </w:p>
    <w:p w:rsidR="00660A67" w:rsidRPr="003E314D" w:rsidRDefault="00660A67" w:rsidP="004B752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Генерирование, обработка и передача информации становятся фундаментальными источниками производительности и власти.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Роль информационных факторов в мировой политике неуклонно возрастает. Информация превратилась в глобальный, в принципе, неистощимый ресурс человечества. Российский политолог Л. Радзиховский призывал понимать геополитику сегодня в духе 21 века: как местонахождение в мировом информационном пространстве, поскольку жизненное пространство в 21 веке – информационное пространство.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За последнее десятилетие все развитые страны приняли свои концепции и руководящие документы, сформулировали стратегию и тактику относительно наступления новой информационной эры развития мира. Ориентировочным для всех государств документом является Окинавская хартия «Глобальное информационное общество».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Начиная с середины 90-х гг. 20 века Россия разрабатывает собственные концепции, доктрины, планы в области информационных ресурсов общества. В </w:t>
      </w:r>
      <w:smartTag w:uri="urn:schemas-microsoft-com:office:smarttags" w:element="metricconverter">
        <w:smartTagPr>
          <w:attr w:name="ProductID" w:val="1995 г"/>
        </w:smartTagPr>
        <w:r w:rsidRPr="003E314D">
          <w:rPr>
            <w:noProof/>
            <w:color w:val="000000"/>
            <w:sz w:val="28"/>
            <w:szCs w:val="30"/>
          </w:rPr>
          <w:t>1995 г</w:t>
        </w:r>
      </w:smartTag>
      <w:r w:rsidRPr="003E314D">
        <w:rPr>
          <w:noProof/>
          <w:color w:val="000000"/>
          <w:sz w:val="28"/>
          <w:szCs w:val="30"/>
        </w:rPr>
        <w:t xml:space="preserve">. была создана «Концепция построения и развития российского информационного пространства и государственных информационных ресурсов», принят Федеральный закон «Об информации, информатизации и защите информации»; в </w:t>
      </w:r>
      <w:smartTag w:uri="urn:schemas-microsoft-com:office:smarttags" w:element="metricconverter">
        <w:smartTagPr>
          <w:attr w:name="ProductID" w:val="1998 г"/>
        </w:smartTagPr>
        <w:r w:rsidRPr="003E314D">
          <w:rPr>
            <w:noProof/>
            <w:color w:val="000000"/>
            <w:sz w:val="28"/>
            <w:szCs w:val="30"/>
          </w:rPr>
          <w:t>1998 г</w:t>
        </w:r>
      </w:smartTag>
      <w:r w:rsidRPr="003E314D">
        <w:rPr>
          <w:noProof/>
          <w:color w:val="000000"/>
          <w:sz w:val="28"/>
          <w:szCs w:val="30"/>
        </w:rPr>
        <w:t xml:space="preserve">. принята «Концепция формирования информационного общества в России»; в </w:t>
      </w:r>
      <w:smartTag w:uri="urn:schemas-microsoft-com:office:smarttags" w:element="metricconverter">
        <w:smartTagPr>
          <w:attr w:name="ProductID" w:val="2000 г"/>
        </w:smartTagPr>
        <w:r w:rsidRPr="003E314D">
          <w:rPr>
            <w:noProof/>
            <w:color w:val="000000"/>
            <w:sz w:val="28"/>
            <w:szCs w:val="30"/>
          </w:rPr>
          <w:t>2000 г</w:t>
        </w:r>
      </w:smartTag>
      <w:r w:rsidRPr="003E314D">
        <w:rPr>
          <w:noProof/>
          <w:color w:val="000000"/>
          <w:sz w:val="28"/>
          <w:szCs w:val="30"/>
        </w:rPr>
        <w:t xml:space="preserve">. появилась «Доктрина информационной безопасности», а также Федеральная целевая программа «Электронная Россия».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По мнению П.А. Цыганкова, воздействие СМИ является одним из вызовов безопасности для России в современном глобализирующемся мире и ведет к разрыву между ожиданиями граждан и возможностями государств. Сегодня возможности масс-медиа выходят далеко за рамки государственных границ. Предлагая нечто вроде «лучшего из миров», новейшие и все более соблазнительные развлечения, частные и транснациональные электронные СМИ объективно, а иногда и целенаправленно отвлекают людей от негативных последствий глобализации, от национальных гражданских задач, противопоставляя «подавляющее воздействие государства на личность» «освободительным» процессам «планетарной культуры», разрушая лояльность людей по отношению к «своему» государству.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Повсюду происходит массмедийное конструирование событий. В глобальном масштабе такое конструирование служит многим задачам, в том числе беспрецедентной до недавнего времени задаче легитимации (или оправданию) внешнего вмешательства в дела других стран. «Глобальные медиа во все большей степени становятся инструментом мобилизации, которая может осуществляться поверх границ национальных государств».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Своей интенсивной работой массмедиа обеспечивают информационные войны (ИВ) за власть. Понятие ИВ применяется для выражения проблемы информационно-технологической угрозы или войны информационных технологий, т.е. использования информационных систем (компьютеров, телекоммуникационных сетей, баз данных) в военных целях. В настоящее время почти все конфликтные ситуации, локальные войны оказываются сюжетами информационных войн и информационного произвола.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Следует различать информационную войну (борьбу) в широком (во всех сферах) и узком смысле (в какой-либо сфере, политической, например). Основные сферы ведения информационного противоборства – политическая, дипломатическая, финансово-экономическая, военная. Информационная революция, как и глобализация, в современном мире выступает, таким образом, определяющим геополитическим процессом, а геополитическое информационное противоборство (ГИП) является современной формой борьбы между государствами. При ГИП одно государство проводит систему мер с целью нарушения информационной безопасности другого государства при одновременной защите от аналогичных действий со стороны противодействующего государства.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Следует выделить два вида информационной борьбы: информационно-техническую и информационно-психологическую. Для защиты от негативных воздействий социальных объектов в ходе глобальной ГИП необходимо создание системы информационно-психологического обеспечения как составной части национальной безопасности России. Данная система должна обеспечить защиту психики политической элиты и населения России от негативного информационно-психологического воздействия. </w:t>
      </w:r>
    </w:p>
    <w:p w:rsidR="00B248C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Политическое руководство России пока еще уделяет недостаточное внимание росту значения СМИ, особенно телевидения в современной мировой политике. Проблема обеспечения информационной безопасности в России длительное время не только не выдвигалась, но фактически игнорировалась. При этом считалось, что путем тотальной секретности и различными ограничениями можно обеспечить информационную безопасность страны. </w:t>
      </w:r>
    </w:p>
    <w:p w:rsidR="00660A67" w:rsidRPr="003E314D" w:rsidRDefault="00660A6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Только сейчас Российское государство начинает серьезно и ответственно подходить к проблеме определения и отстаивания жизненно важных интересов, реальных и потенциальных угроз в информационной сфере. Сущность стратегии России заключается в необходимости активного ведения информационного противоборства для защиты своих национальных интересов (прежде всего экономических) на основе многовекового национального опыта. </w:t>
      </w:r>
    </w:p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B248C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3E314D">
        <w:rPr>
          <w:b/>
          <w:noProof/>
          <w:color w:val="000000"/>
          <w:sz w:val="28"/>
          <w:szCs w:val="30"/>
        </w:rPr>
        <w:br w:type="page"/>
      </w:r>
      <w:r w:rsidR="00B248C7" w:rsidRPr="003E314D">
        <w:rPr>
          <w:b/>
          <w:noProof/>
          <w:color w:val="000000"/>
          <w:sz w:val="28"/>
          <w:szCs w:val="30"/>
        </w:rPr>
        <w:t>Заключение</w:t>
      </w:r>
    </w:p>
    <w:p w:rsidR="004B7527" w:rsidRPr="003E314D" w:rsidRDefault="004B752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Таким образом, сферы интересов существенно варьируются: частному капиталу интересен прирост стоимости акций компаний, в которые вложен капитал. Основные задачи государства при этом - развитие инновационной составляющей экономики, реализация научного потенциала, привлечение иностранного капитала, социально-экономическое развитие как страны в целом, так и отдельных регионов в частности. </w:t>
      </w:r>
    </w:p>
    <w:p w:rsidR="00B248C7" w:rsidRPr="003E314D" w:rsidRDefault="00B248C7" w:rsidP="004B752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>Задача России при проведении при проведении глобального стратегического противоборства в его цивилизационном аспекте – превращать русскую самобытность (с ее духовностью, терпимостью и многоукладностью) в универсальную модель мировой культуры, в альтернативное атлантизму глобальное мировоззрение.</w:t>
      </w:r>
    </w:p>
    <w:p w:rsidR="00B248C7" w:rsidRPr="003E314D" w:rsidRDefault="004B7527" w:rsidP="004B752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3E314D">
        <w:rPr>
          <w:b/>
          <w:noProof/>
          <w:color w:val="000000"/>
          <w:sz w:val="28"/>
          <w:szCs w:val="30"/>
        </w:rPr>
        <w:br w:type="page"/>
      </w:r>
      <w:r w:rsidR="00B248C7" w:rsidRPr="003E314D">
        <w:rPr>
          <w:b/>
          <w:noProof/>
          <w:color w:val="000000"/>
          <w:sz w:val="28"/>
          <w:szCs w:val="30"/>
        </w:rPr>
        <w:t>Список литературы</w:t>
      </w:r>
    </w:p>
    <w:p w:rsidR="004B7527" w:rsidRPr="003E314D" w:rsidRDefault="004B7527" w:rsidP="004B752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Кастельс М. Информационная эпоха: экономика, общество и культура. - М., 2007. </w:t>
      </w: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Радзиховский Л. Израиль и Палестина // Российская газета. 2008. </w:t>
      </w: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Цыганков П.А. Теория международных отношений. - М., 2007. </w:t>
      </w: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Иванов В.Н., Назаров М.М. Массовая коммуникация в условиях глобализации //М.: Социс. – 2008. -. № 10. </w:t>
      </w: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Ерасов, Б.С. Социальная культурология: Пособие для вузов. / Б.С. Ерасов – М.: Аспект Пресс, 2008. </w:t>
      </w: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 xml:space="preserve">Карпова, Ю.А. Введение в социологию инноватики: Учебное пособие. / Ю.А. Карпова – СПб.: Питер, 2004. </w:t>
      </w:r>
    </w:p>
    <w:p w:rsidR="00B248C7" w:rsidRPr="003E314D" w:rsidRDefault="00B248C7" w:rsidP="004B7527">
      <w:pPr>
        <w:numPr>
          <w:ilvl w:val="0"/>
          <w:numId w:val="3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3E314D">
        <w:rPr>
          <w:noProof/>
          <w:color w:val="000000"/>
          <w:sz w:val="28"/>
          <w:szCs w:val="30"/>
        </w:rPr>
        <w:t>Плотинский Ю.М. Модели социальных процессов: Учебное пособие для высших учебных заведений / Ю.М. Плотинский – М.: Логос, 2008.</w:t>
      </w:r>
      <w:bookmarkStart w:id="0" w:name="_GoBack"/>
      <w:bookmarkEnd w:id="0"/>
    </w:p>
    <w:sectPr w:rsidR="00B248C7" w:rsidRPr="003E314D" w:rsidSect="004B7527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17" w:rsidRDefault="00841217">
      <w:r>
        <w:separator/>
      </w:r>
    </w:p>
  </w:endnote>
  <w:endnote w:type="continuationSeparator" w:id="0">
    <w:p w:rsidR="00841217" w:rsidRDefault="0084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17" w:rsidRDefault="00841217">
      <w:r>
        <w:separator/>
      </w:r>
    </w:p>
  </w:footnote>
  <w:footnote w:type="continuationSeparator" w:id="0">
    <w:p w:rsidR="00841217" w:rsidRDefault="0084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C7" w:rsidRDefault="00B248C7" w:rsidP="00D34BE9">
    <w:pPr>
      <w:pStyle w:val="a3"/>
      <w:framePr w:wrap="around" w:vAnchor="text" w:hAnchor="margin" w:xAlign="right" w:y="1"/>
      <w:rPr>
        <w:rStyle w:val="a5"/>
      </w:rPr>
    </w:pPr>
  </w:p>
  <w:p w:rsidR="00B248C7" w:rsidRDefault="00B248C7" w:rsidP="00B248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C7" w:rsidRDefault="00687E11" w:rsidP="00D34BE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248C7" w:rsidRDefault="00B248C7" w:rsidP="00B248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5A0962"/>
    <w:multiLevelType w:val="hybridMultilevel"/>
    <w:tmpl w:val="2CC61870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DAE0BD0"/>
    <w:multiLevelType w:val="hybridMultilevel"/>
    <w:tmpl w:val="4D3020D9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0CB1A04"/>
    <w:multiLevelType w:val="hybridMultilevel"/>
    <w:tmpl w:val="726AB8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9EF2108"/>
    <w:multiLevelType w:val="hybridMultilevel"/>
    <w:tmpl w:val="C49A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A67"/>
    <w:rsid w:val="001312A3"/>
    <w:rsid w:val="001C17DA"/>
    <w:rsid w:val="00224BC1"/>
    <w:rsid w:val="003E314D"/>
    <w:rsid w:val="004B7527"/>
    <w:rsid w:val="00532FFE"/>
    <w:rsid w:val="00637269"/>
    <w:rsid w:val="00660A67"/>
    <w:rsid w:val="00687E11"/>
    <w:rsid w:val="00841217"/>
    <w:rsid w:val="00B248C7"/>
    <w:rsid w:val="00D34BE9"/>
    <w:rsid w:val="00E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7DDBC-8DF3-461F-914A-AB80454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8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248C7"/>
    <w:rPr>
      <w:rFonts w:cs="Times New Roman"/>
    </w:rPr>
  </w:style>
  <w:style w:type="paragraph" w:styleId="a6">
    <w:name w:val="footer"/>
    <w:basedOn w:val="a"/>
    <w:link w:val="a7"/>
    <w:uiPriority w:val="99"/>
    <w:rsid w:val="004B7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Венчурные фонды как институт развития инновационной экономики </vt:lpstr>
    </vt:vector>
  </TitlesOfParts>
  <Company>ussr</Company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Венчурные фонды как институт развития инновационной экономики </dc:title>
  <dc:subject/>
  <dc:creator>user</dc:creator>
  <cp:keywords/>
  <dc:description/>
  <cp:lastModifiedBy>admin</cp:lastModifiedBy>
  <cp:revision>2</cp:revision>
  <dcterms:created xsi:type="dcterms:W3CDTF">2014-02-22T18:26:00Z</dcterms:created>
  <dcterms:modified xsi:type="dcterms:W3CDTF">2014-02-22T18:26:00Z</dcterms:modified>
</cp:coreProperties>
</file>