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E3E">
        <w:rPr>
          <w:rFonts w:ascii="Times New Roman" w:hAnsi="Times New Roman" w:cs="Times New Roman"/>
          <w:b/>
          <w:color w:val="000000"/>
          <w:sz w:val="28"/>
          <w:szCs w:val="28"/>
        </w:rPr>
        <w:t>Реферат</w:t>
      </w:r>
    </w:p>
    <w:p w:rsidR="00011714" w:rsidRPr="00506E3E" w:rsidRDefault="00011714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0A33" w:rsidRPr="00506E3E" w:rsidRDefault="006F0A33" w:rsidP="00011714">
      <w:pPr>
        <w:pStyle w:val="HTML"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E3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35100A" w:rsidRPr="00506E3E">
        <w:rPr>
          <w:rFonts w:ascii="Times New Roman" w:hAnsi="Times New Roman" w:cs="Times New Roman"/>
          <w:b/>
          <w:color w:val="000000"/>
          <w:sz w:val="28"/>
          <w:szCs w:val="28"/>
        </w:rPr>
        <w:t>нновационная</w:t>
      </w:r>
      <w:r w:rsidR="00225633" w:rsidRPr="00506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100A" w:rsidRPr="00506E3E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</w:t>
      </w:r>
      <w:r w:rsidR="00225633" w:rsidRPr="00506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100A" w:rsidRPr="00506E3E">
        <w:rPr>
          <w:rFonts w:ascii="Times New Roman" w:hAnsi="Times New Roman" w:cs="Times New Roman"/>
          <w:b/>
          <w:color w:val="000000"/>
          <w:sz w:val="28"/>
          <w:szCs w:val="28"/>
        </w:rPr>
        <w:t>фирм:</w:t>
      </w:r>
      <w:r w:rsidR="00225633" w:rsidRPr="00506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1714" w:rsidRPr="00506E3E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методология,</w:t>
      </w:r>
      <w:r w:rsidR="00225633" w:rsidRPr="00506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1714" w:rsidRPr="00506E3E">
        <w:rPr>
          <w:rFonts w:ascii="Times New Roman" w:hAnsi="Times New Roman" w:cs="Times New Roman"/>
          <w:b/>
          <w:color w:val="000000"/>
          <w:sz w:val="28"/>
          <w:szCs w:val="28"/>
        </w:rPr>
        <w:t>принципы,</w:t>
      </w:r>
      <w:r w:rsidR="00225633" w:rsidRPr="00506E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1714" w:rsidRPr="00506E3E">
        <w:rPr>
          <w:rFonts w:ascii="Times New Roman" w:hAnsi="Times New Roman" w:cs="Times New Roman"/>
          <w:b/>
          <w:color w:val="000000"/>
          <w:sz w:val="28"/>
          <w:szCs w:val="28"/>
        </w:rPr>
        <w:t>сущность</w:t>
      </w:r>
    </w:p>
    <w:p w:rsidR="006F0A33" w:rsidRPr="00506E3E" w:rsidRDefault="00011714" w:rsidP="00011714">
      <w:pPr>
        <w:pStyle w:val="a4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/>
          <w:b/>
          <w:caps/>
          <w:color w:val="000000"/>
          <w:sz w:val="28"/>
          <w:szCs w:val="24"/>
        </w:rPr>
      </w:pPr>
      <w:r w:rsidRPr="00506E3E"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6F0A33" w:rsidRPr="00506E3E">
        <w:rPr>
          <w:rFonts w:ascii="Times New Roman" w:hAnsi="Times New Roman"/>
          <w:b/>
          <w:caps/>
          <w:color w:val="000000"/>
          <w:sz w:val="28"/>
          <w:szCs w:val="24"/>
        </w:rPr>
        <w:t>Содержание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b/>
          <w:caps/>
          <w:color w:val="000000"/>
          <w:sz w:val="28"/>
          <w:szCs w:val="24"/>
        </w:rPr>
        <w:t>понятия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b/>
          <w:caps/>
          <w:color w:val="000000"/>
          <w:sz w:val="28"/>
          <w:szCs w:val="24"/>
        </w:rPr>
        <w:t>«инновация»,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b/>
          <w:caps/>
          <w:color w:val="000000"/>
          <w:sz w:val="28"/>
          <w:szCs w:val="24"/>
        </w:rPr>
        <w:t>сущность</w:t>
      </w:r>
    </w:p>
    <w:p w:rsidR="006F0A33" w:rsidRPr="00506E3E" w:rsidRDefault="006F0A33" w:rsidP="0001171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011714" w:rsidRPr="00506E3E" w:rsidRDefault="00B97B67" w:rsidP="0001171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значимых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характеристик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внешней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среды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компаний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современных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высокая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подвижность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непредсказуемость.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этим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становится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актуальным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прогнозирование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«поведения»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рынка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создания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гибкой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адаптации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новым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условия.</w:t>
      </w:r>
    </w:p>
    <w:p w:rsidR="00011714" w:rsidRPr="00506E3E" w:rsidRDefault="00B97B67" w:rsidP="0001171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Таким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образом,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управленческих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становится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инновативности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компаний,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именно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способность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четко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адекватно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реагировать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малейшие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рынке,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внедрение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технологий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управления,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новейших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маркетинговых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стратегий.</w:t>
      </w:r>
    </w:p>
    <w:p w:rsidR="000E5364" w:rsidRPr="00506E3E" w:rsidRDefault="00B97B67" w:rsidP="0001171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Осуществляя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инновационную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деятельность,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современные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компании,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правило,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преследуют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цель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эффективность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рынке.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данной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глобальной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цели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реализуются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специфические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задачи:</w:t>
      </w:r>
    </w:p>
    <w:p w:rsidR="000E5364" w:rsidRPr="00506E3E" w:rsidRDefault="000E5364" w:rsidP="00011714">
      <w:pPr>
        <w:pStyle w:val="HTML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рыночной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доли;</w:t>
      </w:r>
    </w:p>
    <w:p w:rsidR="000E5364" w:rsidRPr="00506E3E" w:rsidRDefault="000E5364" w:rsidP="00011714">
      <w:pPr>
        <w:pStyle w:val="HTML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выход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новые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целевые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рынки</w:t>
      </w:r>
    </w:p>
    <w:p w:rsidR="000E5364" w:rsidRPr="00506E3E" w:rsidRDefault="000E5364" w:rsidP="00011714">
      <w:pPr>
        <w:pStyle w:val="HTML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имиджа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гибкой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инновативной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компании;</w:t>
      </w:r>
    </w:p>
    <w:p w:rsidR="000E5364" w:rsidRPr="00506E3E" w:rsidRDefault="000E5364" w:rsidP="00011714">
      <w:pPr>
        <w:pStyle w:val="HTML"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диверсификация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деятельности.</w:t>
      </w:r>
    </w:p>
    <w:p w:rsidR="000E5364" w:rsidRPr="00506E3E" w:rsidRDefault="000E5364" w:rsidP="00011714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E3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комплексного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подхода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инновационному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процессу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можно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предложить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целенаправленно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проводимых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сферах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компании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адаптации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внешней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среде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компании.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широкой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интерпретации-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это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научно-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технический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прогресс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отраслей,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стран,</w:t>
      </w:r>
      <w:r w:rsidR="00225633" w:rsidRPr="00506E3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 w:cs="Times New Roman"/>
          <w:color w:val="000000"/>
          <w:sz w:val="28"/>
          <w:szCs w:val="24"/>
        </w:rPr>
        <w:t>регионов.</w:t>
      </w:r>
    </w:p>
    <w:p w:rsidR="00011714" w:rsidRPr="00506E3E" w:rsidRDefault="000E5364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мировой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литературе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интерпретируется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превращение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потенциального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научно-технического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прогресса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реальный,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воплощающийся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продуктах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технологиях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рамках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отраслей,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стран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регионов.</w:t>
      </w:r>
    </w:p>
    <w:p w:rsidR="00011714" w:rsidRPr="00506E3E" w:rsidRDefault="000E5364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Термин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стал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активно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использоваться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период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16B2A" w:rsidRPr="00506E3E">
        <w:rPr>
          <w:rFonts w:ascii="Times New Roman" w:hAnsi="Times New Roman"/>
          <w:color w:val="000000"/>
          <w:sz w:val="28"/>
          <w:szCs w:val="24"/>
        </w:rPr>
        <w:t>перестроечной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России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самостоятельно,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обозначения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ряда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родственных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понятий: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деятельность,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решение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п.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литературе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насчитываются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сотни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определений.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Например,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признаку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содержания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внутренней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структуры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выделяют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технические,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экономические,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организационные,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управленческие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др.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Выделяются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признаки,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масштаб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(глобальные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локальные);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параметры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жизненного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цикла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(выделение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анализ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всех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стадий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подстадий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),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закономерности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внедрения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понятие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зависимости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предмета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своего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исследования.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Методология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описания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условиях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рыночной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экономики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базируется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международных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стандартах.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соответствии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ними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деятельностью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понимается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вид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связанный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трансформацией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идей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(обычно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результатов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исследований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разработок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либо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научно-технический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достижений)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усовершенствованные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услуги,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внедренные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усовершенствованные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способы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(передачи)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услуг,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использованные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практической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предполагает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комплекс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научных,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технологических,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организационных,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финансовых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коммерческих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мероприятий,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именно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совокупности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они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приводят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инновациям,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основании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выделяются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следующие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основные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виды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деятельности: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•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исследования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разработки;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•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подготовка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охватывающие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приобретение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производственного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оборудования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инструмента,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изменения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них,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также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процедурах,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методах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стандартах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контроля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качества,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необходимых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изготовления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методов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(передачи);</w:t>
      </w:r>
    </w:p>
    <w:p w:rsidR="00616B2A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•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пуск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предпроизводственные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разработки,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включающие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модификации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переподготовку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персонала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применения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оборудования.</w:t>
      </w:r>
    </w:p>
    <w:p w:rsidR="00616B2A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•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маркетинг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продуктов,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включая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деятельность,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связанную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выпуском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рынок,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предварительным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исследованием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адаптацией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различным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рынкам,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также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рекламную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кампанию.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•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приобретение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стороны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форме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патентов,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лицензий,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ноу-хау;</w:t>
      </w:r>
    </w:p>
    <w:p w:rsidR="00011714" w:rsidRPr="00506E3E" w:rsidRDefault="00616B2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•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приобретение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овеществленных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–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машин,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оборудования,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своему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технологическому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содержанию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связанных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внедрением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предприятии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C64AD" w:rsidRPr="00506E3E">
        <w:rPr>
          <w:rFonts w:ascii="Times New Roman" w:hAnsi="Times New Roman"/>
          <w:color w:val="000000"/>
          <w:sz w:val="28"/>
          <w:szCs w:val="24"/>
        </w:rPr>
        <w:t>.</w:t>
      </w:r>
    </w:p>
    <w:p w:rsidR="002C64AD" w:rsidRPr="00506E3E" w:rsidRDefault="002C64AD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Изучение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современных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компаний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позволяет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выделить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ряд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принципов:</w:t>
      </w:r>
    </w:p>
    <w:p w:rsidR="002C64AD" w:rsidRPr="00506E3E" w:rsidRDefault="002C64AD" w:rsidP="00011714">
      <w:pPr>
        <w:pStyle w:val="a4"/>
        <w:numPr>
          <w:ilvl w:val="0"/>
          <w:numId w:val="2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комплексность;</w:t>
      </w:r>
    </w:p>
    <w:p w:rsidR="002C64AD" w:rsidRPr="00506E3E" w:rsidRDefault="002C64AD" w:rsidP="00011714">
      <w:pPr>
        <w:pStyle w:val="a4"/>
        <w:numPr>
          <w:ilvl w:val="0"/>
          <w:numId w:val="2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обязательное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целеполагание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стратегическое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планирование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процессов;</w:t>
      </w:r>
    </w:p>
    <w:p w:rsidR="00616B2A" w:rsidRPr="00506E3E" w:rsidRDefault="002C64AD" w:rsidP="00011714">
      <w:pPr>
        <w:pStyle w:val="a4"/>
        <w:numPr>
          <w:ilvl w:val="0"/>
          <w:numId w:val="2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коллегиальность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принятии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важнейших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606F5" w:rsidRPr="00506E3E">
        <w:rPr>
          <w:rFonts w:ascii="Times New Roman" w:hAnsi="Times New Roman"/>
          <w:color w:val="000000"/>
          <w:sz w:val="28"/>
          <w:szCs w:val="24"/>
        </w:rPr>
        <w:t>инновационных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606F5" w:rsidRPr="00506E3E">
        <w:rPr>
          <w:rFonts w:ascii="Times New Roman" w:hAnsi="Times New Roman"/>
          <w:color w:val="000000"/>
          <w:sz w:val="28"/>
          <w:szCs w:val="24"/>
        </w:rPr>
        <w:t>решений.</w:t>
      </w:r>
    </w:p>
    <w:p w:rsidR="00011714" w:rsidRPr="00506E3E" w:rsidRDefault="00B606F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основным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же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функциям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относят: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1.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воспроизводственную;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2.инвестиционную;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3.стимулирующую.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Воспроизводственная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означает,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что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представляет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собой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важный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источник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финансирования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расширенного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воспроизводства.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Смысл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воспроизводственной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состоит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получении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прибыли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использовании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качестве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источника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финансовых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ресурсов.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Прибыль,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полученная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счет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может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использоваться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различным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направлениям,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том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числе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качестве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капитала.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Этот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капитал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может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направляться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финансирование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видов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инноваций.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Таким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образом,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использование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прибыли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инвестирования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составляет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содержание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инвестиционной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инновации.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Получение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предпринимателем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прибыли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счет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прямо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соответствует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основной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цели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любой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коммерческой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организации.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Прибыль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служит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стимулом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предпринимателя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внедрения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инноваций;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побуждает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постоянно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изучать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спрос,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совершенствовать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организацию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маркетинговой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деятельности,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применять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современные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методы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финансами.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Все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вместе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это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составляет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содержание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стимулирующей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инновации.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Побудительным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механизмом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развития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инноваций,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первую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очередь,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является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рыночная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конкуренция.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условиях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рынка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производители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услуг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постоянно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вынуждены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искать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пути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сокращения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издержек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производства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выхода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рынки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сбыта.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Поэтому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предпринимательские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фирмы,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первыми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освоившие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эффективные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получают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весомое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преимущество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перед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конкурентами.</w:t>
      </w:r>
    </w:p>
    <w:p w:rsidR="00B606F5" w:rsidRPr="00506E3E" w:rsidRDefault="00B606F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раскрытия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вышеназванных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принципов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следует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обратиться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классификации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инновационных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процессов.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1878F1" w:rsidRPr="00506E3E">
        <w:rPr>
          <w:rFonts w:ascii="Times New Roman" w:hAnsi="Times New Roman"/>
          <w:color w:val="000000"/>
          <w:sz w:val="28"/>
          <w:szCs w:val="24"/>
        </w:rPr>
        <w:t>сходя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878F1" w:rsidRPr="00506E3E">
        <w:rPr>
          <w:rFonts w:ascii="Times New Roman" w:hAnsi="Times New Roman"/>
          <w:color w:val="000000"/>
          <w:sz w:val="28"/>
          <w:szCs w:val="24"/>
        </w:rPr>
        <w:t>из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878F1" w:rsidRPr="00506E3E">
        <w:rPr>
          <w:rFonts w:ascii="Times New Roman" w:hAnsi="Times New Roman"/>
          <w:color w:val="000000"/>
          <w:sz w:val="28"/>
          <w:szCs w:val="24"/>
        </w:rPr>
        <w:t>определения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1878F1"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целесообразным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представляется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выделение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следующей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методологии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классификации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30B6A" w:rsidRPr="00506E3E">
        <w:rPr>
          <w:rFonts w:ascii="Times New Roman" w:hAnsi="Times New Roman"/>
          <w:color w:val="000000"/>
          <w:sz w:val="28"/>
          <w:szCs w:val="24"/>
        </w:rPr>
        <w:t>инноваций:</w:t>
      </w:r>
    </w:p>
    <w:p w:rsidR="00930B6A" w:rsidRPr="00506E3E" w:rsidRDefault="00930B6A" w:rsidP="00011714">
      <w:pPr>
        <w:pStyle w:val="a4"/>
        <w:numPr>
          <w:ilvl w:val="0"/>
          <w:numId w:val="3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степени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рыночной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новизны;</w:t>
      </w:r>
    </w:p>
    <w:p w:rsidR="00930B6A" w:rsidRPr="00506E3E" w:rsidRDefault="00930B6A" w:rsidP="00011714">
      <w:pPr>
        <w:pStyle w:val="a4"/>
        <w:numPr>
          <w:ilvl w:val="0"/>
          <w:numId w:val="3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причинам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проведения;</w:t>
      </w:r>
    </w:p>
    <w:p w:rsidR="00930B6A" w:rsidRPr="00506E3E" w:rsidRDefault="00930B6A" w:rsidP="00011714">
      <w:pPr>
        <w:pStyle w:val="a4"/>
        <w:numPr>
          <w:ilvl w:val="0"/>
          <w:numId w:val="3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инноваций.</w:t>
      </w:r>
    </w:p>
    <w:p w:rsidR="00011714" w:rsidRPr="00506E3E" w:rsidRDefault="00930B6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Классификация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степени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рыночной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новизны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предполагает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всех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нововведений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первичные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вторичные.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Первичные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представляют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собой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результат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исследований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разработок,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т.е.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основанные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первичном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идеи,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часто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явившейся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витком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НТП.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вторичными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являются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те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изобретения,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технологии,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услуги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которые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подверглись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глубокому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качественному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изменению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проведенных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другими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компаниями.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Среди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таких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глубоко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модернизированных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товаров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можно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назвать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автомобиль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автоматической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коробкой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передач,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персональный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компьютер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4C5F" w:rsidRPr="00506E3E">
        <w:rPr>
          <w:rFonts w:ascii="Times New Roman" w:hAnsi="Times New Roman"/>
          <w:color w:val="000000"/>
          <w:sz w:val="28"/>
          <w:szCs w:val="24"/>
        </w:rPr>
        <w:t>т.д.</w:t>
      </w:r>
    </w:p>
    <w:p w:rsidR="007C4C5F" w:rsidRPr="00506E3E" w:rsidRDefault="007C4C5F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Проведение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первичных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требует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значительного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научно-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технического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потенциала,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новаторской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активности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мощной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финансовой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базы.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Кроме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того,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необходимо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учитывать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высокий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риск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таких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проектов.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второму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пути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идут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фирмы,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внедряющие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,которые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можно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определить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вторичные.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Это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может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быть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диверсификация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(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расширение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номенклатуры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товаров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услуг,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технологий,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управленческих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подходов,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что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позволят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значительной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мере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экономить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F0A33" w:rsidRPr="00506E3E">
        <w:rPr>
          <w:rFonts w:ascii="Times New Roman" w:hAnsi="Times New Roman"/>
          <w:color w:val="000000"/>
          <w:sz w:val="28"/>
          <w:szCs w:val="24"/>
        </w:rPr>
        <w:t>средства.</w:t>
      </w:r>
    </w:p>
    <w:p w:rsidR="00011714" w:rsidRPr="00506E3E" w:rsidRDefault="001878F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Классификация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причинам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проведения.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Очевидно,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что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любая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вызвана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иными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факторами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случае,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когда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компания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вынуждена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реагировать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изменения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адаптироваться,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имеют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место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так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называемые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адаптационные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инновации.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Если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же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фирма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имеет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возможности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предвидения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возможных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перемен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окружающей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среде,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такие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называются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опережающими.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Опережающие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могут,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правило,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позволить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себе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компании,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имеющие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условия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создания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постоянного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B3304" w:rsidRPr="00506E3E">
        <w:rPr>
          <w:rFonts w:ascii="Times New Roman" w:hAnsi="Times New Roman"/>
          <w:color w:val="000000"/>
          <w:sz w:val="28"/>
          <w:szCs w:val="24"/>
        </w:rPr>
        <w:t>климата.</w:t>
      </w:r>
    </w:p>
    <w:p w:rsidR="002B3304" w:rsidRPr="00506E3E" w:rsidRDefault="002B3304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Третья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классификация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предполагает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разделение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нововведений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(</w:t>
      </w:r>
      <w:r w:rsidRPr="00506E3E">
        <w:rPr>
          <w:rFonts w:ascii="Times New Roman" w:hAnsi="Times New Roman"/>
          <w:color w:val="000000"/>
          <w:sz w:val="28"/>
          <w:szCs w:val="24"/>
        </w:rPr>
        <w:t>предмету),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который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они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направлены.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Выделяют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четыре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типа:</w:t>
      </w:r>
    </w:p>
    <w:p w:rsidR="002B3304" w:rsidRPr="00506E3E" w:rsidRDefault="002B3304" w:rsidP="00011714">
      <w:pPr>
        <w:pStyle w:val="a4"/>
        <w:numPr>
          <w:ilvl w:val="0"/>
          <w:numId w:val="7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продуктовые;</w:t>
      </w:r>
    </w:p>
    <w:p w:rsidR="002B3304" w:rsidRPr="00506E3E" w:rsidRDefault="002B3304" w:rsidP="00011714">
      <w:pPr>
        <w:pStyle w:val="a4"/>
        <w:numPr>
          <w:ilvl w:val="0"/>
          <w:numId w:val="7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управленческие;</w:t>
      </w:r>
    </w:p>
    <w:p w:rsidR="002B3304" w:rsidRPr="00506E3E" w:rsidRDefault="002B3304" w:rsidP="00011714">
      <w:pPr>
        <w:pStyle w:val="a4"/>
        <w:numPr>
          <w:ilvl w:val="0"/>
          <w:numId w:val="7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маркетинговые;</w:t>
      </w:r>
    </w:p>
    <w:p w:rsidR="002B3304" w:rsidRPr="00506E3E" w:rsidRDefault="002B3304" w:rsidP="00011714">
      <w:pPr>
        <w:pStyle w:val="a4"/>
        <w:numPr>
          <w:ilvl w:val="0"/>
          <w:numId w:val="7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технологические.</w:t>
      </w:r>
    </w:p>
    <w:p w:rsidR="002B3304" w:rsidRPr="00506E3E" w:rsidRDefault="002B3304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Таким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образом,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нововведения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могут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касаться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либо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создания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(услуги)-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продуктовые,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либо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использование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технологической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идеи,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либо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внедрение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новых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средств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методов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внутрифирменного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878A1"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4878A1" w:rsidRPr="00506E3E" w:rsidRDefault="004878A1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Продуктовые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товаром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рыночной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точки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зрения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можно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понимать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несколько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разновидностей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товарных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нововведений:</w:t>
      </w:r>
    </w:p>
    <w:p w:rsidR="004878A1" w:rsidRPr="00506E3E" w:rsidRDefault="004878A1" w:rsidP="00011714">
      <w:pPr>
        <w:pStyle w:val="a4"/>
        <w:numPr>
          <w:ilvl w:val="0"/>
          <w:numId w:val="8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совершенно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товар;</w:t>
      </w:r>
    </w:p>
    <w:p w:rsidR="004878A1" w:rsidRPr="00506E3E" w:rsidRDefault="004878A1" w:rsidP="00011714">
      <w:pPr>
        <w:pStyle w:val="a4"/>
        <w:numPr>
          <w:ilvl w:val="0"/>
          <w:numId w:val="8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модернизированный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товар;</w:t>
      </w:r>
    </w:p>
    <w:p w:rsidR="004878A1" w:rsidRPr="00506E3E" w:rsidRDefault="004878A1" w:rsidP="00011714">
      <w:pPr>
        <w:pStyle w:val="a4"/>
        <w:numPr>
          <w:ilvl w:val="0"/>
          <w:numId w:val="8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модифицированный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товар;</w:t>
      </w:r>
    </w:p>
    <w:p w:rsidR="0035100A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Обобщая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определения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инноваций,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можно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выделить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следующее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понятие-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</w:rPr>
        <w:t>процесс.</w:t>
      </w:r>
    </w:p>
    <w:p w:rsidR="00C12B65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означает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инновационную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деятельность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какого-либо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предприятия.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Он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направлен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разработку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реализацию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результатов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научно-технических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изысканий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виде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продукта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технологического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процесса.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общем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плане,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—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это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последовательная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цепь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событий,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ходе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которой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новшество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«вызревает»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идеи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конкретного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продукта,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технологии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услуги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распространяется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хозяйственной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практике.</w:t>
      </w:r>
    </w:p>
    <w:p w:rsidR="00011714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включает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себя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семь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элементов,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соединение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которых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единую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последовательную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цепочку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образует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структуру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процесса.</w:t>
      </w:r>
    </w:p>
    <w:p w:rsidR="00011714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этим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элементам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относятся: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инициация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инновации;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маркетинг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инновации;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выпуск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(производство)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инновации;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реализация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инновации;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продвижение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инновации;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оценка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экономической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эффективности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инновации;</w:t>
      </w:r>
    </w:p>
    <w:p w:rsidR="00011714" w:rsidRPr="00506E3E" w:rsidRDefault="00C12B65" w:rsidP="00011714">
      <w:pPr>
        <w:numPr>
          <w:ilvl w:val="0"/>
          <w:numId w:val="9"/>
        </w:numPr>
        <w:shd w:val="clear" w:color="000000" w:fill="auto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диффузия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(распространение)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инновации.</w:t>
      </w:r>
    </w:p>
    <w:p w:rsidR="00225633" w:rsidRPr="00506E3E" w:rsidRDefault="00225633">
      <w:pPr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</w:p>
    <w:p w:rsidR="00C12B65" w:rsidRPr="00506E3E" w:rsidRDefault="002A7451" w:rsidP="00011714">
      <w:pPr>
        <w:shd w:val="clear" w:color="000000" w:fill="auto"/>
        <w:spacing w:after="0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http://www.dist-cons.ru/modules/innova/img/s1.gif" style="width:390.75pt;height:183.75pt;visibility:visible">
            <v:imagedata r:id="rId6" o:title="s1"/>
          </v:shape>
        </w:pict>
      </w:r>
    </w:p>
    <w:p w:rsidR="0035100A" w:rsidRPr="00506E3E" w:rsidRDefault="00011714" w:rsidP="00011714">
      <w:pPr>
        <w:shd w:val="clear" w:color="000000" w:fill="auto"/>
        <w:spacing w:after="0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Р</w:t>
      </w:r>
      <w:r w:rsidR="0035100A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ис</w:t>
      </w:r>
      <w:r w:rsidR="00225633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1.</w:t>
      </w:r>
      <w:r w:rsidR="00225633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С</w:t>
      </w:r>
      <w:r w:rsidR="0035100A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труктура</w:t>
      </w:r>
      <w:r w:rsidR="00225633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инновационного</w:t>
      </w:r>
      <w:r w:rsidR="00225633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b/>
          <w:iCs/>
          <w:color w:val="000000"/>
          <w:sz w:val="28"/>
          <w:szCs w:val="24"/>
          <w:lang w:eastAsia="ru-RU"/>
        </w:rPr>
        <w:t>процесса</w:t>
      </w:r>
    </w:p>
    <w:p w:rsidR="0035100A" w:rsidRPr="00506E3E" w:rsidRDefault="0035100A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011714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Началом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является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инициация.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Инициация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—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это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деятельность,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состоящая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выборе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цели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постановке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задачи,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выполняемой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инновацией,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поиске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идеи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технико-экономическом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обосновании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материализации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идеи.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Материализация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идеи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означает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превращение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идеи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товар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(имущество,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т.д.).</w:t>
      </w:r>
    </w:p>
    <w:p w:rsidR="00011714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После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обоснования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продукта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проводятся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маркетинговые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исследования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предлагаемой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ходе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которых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изучается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спрос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новый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продукт,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определяется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объем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выпуска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продукта,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определяются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потребительские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свойства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товарные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характеристики,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которые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следует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придать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товару,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выходящему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рынок.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Затем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производится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продажа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есть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появление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рынке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небольшой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партии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продвижение,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оценка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эффективности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Продвижение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представляет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собой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комплекс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мер,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направленных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реализацию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(реклама,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организация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торговли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др.).</w:t>
      </w:r>
    </w:p>
    <w:p w:rsidR="00011714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Результаты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затраты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ее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продвижение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подвергаются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статистической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обработке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анализу,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основании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чего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рассчитывается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экономическая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эффективность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инновации.</w:t>
      </w:r>
    </w:p>
    <w:p w:rsidR="00C12B65" w:rsidRPr="00506E3E" w:rsidRDefault="00C12B65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Внедряя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практику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предпринимательской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деятельности,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очень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важно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знать,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какие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факторы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способны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затормозить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ускорить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Основные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факторы,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влияющие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развитие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иннова</w:t>
      </w:r>
      <w:r w:rsidR="0035100A" w:rsidRPr="00506E3E">
        <w:rPr>
          <w:rFonts w:ascii="Times New Roman" w:hAnsi="Times New Roman"/>
          <w:color w:val="000000"/>
          <w:sz w:val="28"/>
          <w:szCs w:val="24"/>
          <w:lang w:eastAsia="ru-RU"/>
        </w:rPr>
        <w:t>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процесса,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  <w:lang w:eastAsia="ru-RU"/>
        </w:rPr>
        <w:t>приведены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35100A" w:rsidRPr="00506E3E">
        <w:rPr>
          <w:rFonts w:ascii="Times New Roman" w:hAnsi="Times New Roman"/>
          <w:color w:val="000000"/>
          <w:sz w:val="28"/>
          <w:szCs w:val="24"/>
          <w:lang w:eastAsia="ru-RU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  <w:lang w:eastAsia="ru-RU"/>
        </w:rPr>
        <w:t>таблице.</w:t>
      </w:r>
      <w:r w:rsidR="00225633" w:rsidRPr="00506E3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011714" w:rsidRPr="00506E3E" w:rsidRDefault="00011714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tbl>
      <w:tblPr>
        <w:tblW w:w="47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4"/>
        <w:gridCol w:w="3933"/>
        <w:gridCol w:w="3228"/>
      </w:tblGrid>
      <w:tr w:rsidR="00C12B65" w:rsidRPr="00506E3E" w:rsidTr="00506E3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Группа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факторов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pct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Факторы,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препятствующие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инновационной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деятельности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Факторы,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способствующие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инновационной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деятельности</w:t>
            </w:r>
            <w:r w:rsidR="00225633" w:rsidRPr="00506E3E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12B65" w:rsidRPr="00506E3E" w:rsidTr="00506E3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Экономические,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технологические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pct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Недостаток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средств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финансирования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инновационных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проектов,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слабость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материальной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научно-технической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базы,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отсутствие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резервных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мощностей,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доминирование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интересов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текущего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производства.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Наличие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резерва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финансовых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материально-технических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средств,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прогрессивных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технологий,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необходимой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хозяйственной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научно-технической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инфраструктуры.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12B65" w:rsidRPr="00506E3E" w:rsidTr="00506E3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Политические,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правовые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pct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Ограничения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стороны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антимонопольного,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налогового,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амортизационного,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патентно-лицензионного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законодательства.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Законодательные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меры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(особенно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льготы),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поощряющие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инновационную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деятельность,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государственная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поддержка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инноваций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12B65" w:rsidRPr="00506E3E" w:rsidTr="00506E3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Социально-психологические,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культурные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pct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Сопротивления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переменам,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которые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могут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вызвать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такие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последствия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как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изменение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сотрудников,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необходимость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поиска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новой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работы,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перестройка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новой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работы,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перестройка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устоявшихся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деятельности,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нарушение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стереотипов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поведения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сложившихся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традиций,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боязнь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неопределенности,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опасение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наказаний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за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неудачу.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Моральное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поощрение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участников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инновационного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процесса,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общественное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признание,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обеспечение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возможностей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самореализации,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освобождение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творческого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труда.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Нормальный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психологический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климат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трудовом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коллективе.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12B65" w:rsidRPr="00506E3E" w:rsidTr="00506E3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Организационно-управленческие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pct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Устоявшаяся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организационная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структура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компании,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излишняя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централизация,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авторитарный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стиль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управления,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преобладание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вертикальных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потоков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информации,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ведомственная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замкнутость,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трудность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межотраслевых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межорганизационных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взаимодействий,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жесткость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планировании,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ориентация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сложившиеся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рынки,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ориентация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краткосрочную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окупаемость,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сложность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согласования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интересов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участников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инновационных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процессов.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12B65" w:rsidRPr="00506E3E" w:rsidRDefault="00C12B65" w:rsidP="00506E3E">
            <w:pPr>
              <w:shd w:val="clear" w:color="000000" w:fill="auto"/>
              <w:suppressAutoHyphens/>
              <w:spacing w:after="0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Гибкость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оргструктуры,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демократичный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стиль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управления,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преобладание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горизонтальных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потоков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информации,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самопланирование,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допущение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корректировок,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децентрализация,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автономия,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формирования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целевых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рабочих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групп.</w:t>
            </w:r>
            <w:r w:rsidR="00225633" w:rsidRPr="00506E3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</w:tbl>
    <w:p w:rsidR="0091214C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25633" w:rsidRPr="00506E3E" w:rsidRDefault="00225633">
      <w:pPr>
        <w:rPr>
          <w:rFonts w:ascii="Times New Roman" w:hAnsi="Times New Roman"/>
          <w:b/>
          <w:caps/>
          <w:color w:val="000000"/>
          <w:sz w:val="28"/>
          <w:szCs w:val="24"/>
        </w:rPr>
      </w:pPr>
      <w:r w:rsidRPr="00506E3E">
        <w:rPr>
          <w:rFonts w:ascii="Times New Roman" w:hAnsi="Times New Roman"/>
          <w:b/>
          <w:caps/>
          <w:color w:val="000000"/>
          <w:sz w:val="28"/>
          <w:szCs w:val="24"/>
        </w:rPr>
        <w:br w:type="page"/>
      </w:r>
    </w:p>
    <w:p w:rsidR="00011714" w:rsidRPr="00506E3E" w:rsidRDefault="00C12B65" w:rsidP="00011714">
      <w:pPr>
        <w:shd w:val="clear" w:color="000000" w:fill="auto"/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4"/>
        </w:rPr>
      </w:pPr>
      <w:r w:rsidRPr="00506E3E">
        <w:rPr>
          <w:rFonts w:ascii="Times New Roman" w:hAnsi="Times New Roman"/>
          <w:b/>
          <w:caps/>
          <w:color w:val="000000"/>
          <w:sz w:val="28"/>
          <w:szCs w:val="24"/>
        </w:rPr>
        <w:t>1.2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менеджмент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011714" w:rsidRPr="00506E3E">
        <w:rPr>
          <w:rFonts w:ascii="Times New Roman" w:hAnsi="Times New Roman"/>
          <w:b/>
          <w:caps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система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инновациями,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инновационным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процессом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отношениями,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91214C" w:rsidRPr="00506E3E">
        <w:rPr>
          <w:rFonts w:ascii="Times New Roman" w:hAnsi="Times New Roman"/>
          <w:b/>
          <w:caps/>
          <w:color w:val="000000"/>
          <w:sz w:val="28"/>
          <w:szCs w:val="24"/>
        </w:rPr>
        <w:t>возникающим</w:t>
      </w:r>
      <w:r w:rsidR="00011714" w:rsidRPr="00506E3E">
        <w:rPr>
          <w:rFonts w:ascii="Times New Roman" w:hAnsi="Times New Roman"/>
          <w:b/>
          <w:caps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011714" w:rsidRPr="00506E3E">
        <w:rPr>
          <w:rFonts w:ascii="Times New Roman" w:hAnsi="Times New Roman"/>
          <w:b/>
          <w:caps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011714" w:rsidRPr="00506E3E">
        <w:rPr>
          <w:rFonts w:ascii="Times New Roman" w:hAnsi="Times New Roman"/>
          <w:b/>
          <w:caps/>
          <w:color w:val="000000"/>
          <w:sz w:val="28"/>
          <w:szCs w:val="24"/>
        </w:rPr>
        <w:t>процессе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011714" w:rsidRPr="00506E3E">
        <w:rPr>
          <w:rFonts w:ascii="Times New Roman" w:hAnsi="Times New Roman"/>
          <w:b/>
          <w:caps/>
          <w:color w:val="000000"/>
          <w:sz w:val="28"/>
          <w:szCs w:val="24"/>
        </w:rPr>
        <w:t>движения</w:t>
      </w:r>
      <w:r w:rsidR="00225633" w:rsidRPr="00506E3E">
        <w:rPr>
          <w:rFonts w:ascii="Times New Roman" w:hAnsi="Times New Roman"/>
          <w:b/>
          <w:caps/>
          <w:color w:val="000000"/>
          <w:sz w:val="28"/>
          <w:szCs w:val="24"/>
        </w:rPr>
        <w:t xml:space="preserve"> </w:t>
      </w:r>
      <w:r w:rsidR="00011714" w:rsidRPr="00506E3E">
        <w:rPr>
          <w:rFonts w:ascii="Times New Roman" w:hAnsi="Times New Roman"/>
          <w:b/>
          <w:caps/>
          <w:color w:val="000000"/>
          <w:sz w:val="28"/>
          <w:szCs w:val="24"/>
        </w:rPr>
        <w:t>инноваций</w:t>
      </w:r>
    </w:p>
    <w:p w:rsidR="00011714" w:rsidRPr="00506E3E" w:rsidRDefault="00011714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Инновация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является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воздействия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стороны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хозяйственного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механизма.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Хозяйственный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механизм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воздействует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создания,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экономические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отношения,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возникающие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между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производителями,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продавцами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покупателями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Воздействие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хозяйственного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механизма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помощью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определенных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приемов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особой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стратегии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совокупности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образуют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своеобразный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механизм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—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Управление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инновациями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—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сравнительно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понятие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научно-технической,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производственно-технологической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административной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сферой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профессиональных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управляющих.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основывается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следующих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ключевых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моментах: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Поиск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идеи,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служащей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фундаментом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данной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данной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Процесс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рынке.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Что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тактика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менеджменте?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включает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себя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стратегию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тактику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определяет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общее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направление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способ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использования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средств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поставленной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После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поставленной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стратегия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направление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средство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прекращает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существование.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Тактика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—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конкретные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методы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поставленной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конкретных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условиях.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Задачей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тактики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является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искусство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выбора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оптимального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решения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приемов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решения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наиболее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приемлемых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данной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хозяйственной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ситуации.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Что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представляет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собой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управления?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можно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рассматривать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предприятием.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точки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зрения,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состоит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из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двух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подсистем: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управляющей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подсистемы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(субъект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управления)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управляемой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подсистемы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(объект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управления).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Субъектом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может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быть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один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группа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работников,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которые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осуществляют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целенаправленное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функционирование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Объектом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являются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экономические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отношения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между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участниками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Связь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субъекта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посредством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передачи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информации.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передача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информации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представляет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собой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Какие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выполняет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менеджмент?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Инновационный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выполняет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определенные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функции,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которые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определяют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формирование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структуры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Различают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два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типа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инноваций: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субъекта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управления;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Каковы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субъекта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управления?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прогнозирования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охватывает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разработку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длительную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перспективу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изменения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технико-технологического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экономического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состояния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целом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его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различных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частей.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планирования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—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охватывает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весь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комплекс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мероприятий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выработке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плановых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заданий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воплощению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практике.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сводится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объединению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людей,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совместно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реализующих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инвестиционную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программу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базе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каких-либо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правил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процедур.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регулирования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заключается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воздействии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достижения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состояния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устойчивости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технико-технологической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экономической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случае,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когда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эти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отклоняются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установленных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параметров.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координации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означает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согласованность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работ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всех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звеньев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системы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аппарата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отдельных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специалистов.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стимулирования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менеджменте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выражается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побуждении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работников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заинтересованности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результатах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своего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труда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созданию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контроля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заключается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проверке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процесса,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плана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создания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т.п.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Каковы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управления?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К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функциям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объекта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управления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относятся: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рисковое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вложение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капитала;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процесса;</w:t>
      </w:r>
    </w:p>
    <w:p w:rsidR="00011714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продвижения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ее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диффузии.</w:t>
      </w:r>
    </w:p>
    <w:p w:rsidR="0091214C" w:rsidRPr="00506E3E" w:rsidRDefault="0091214C" w:rsidP="00011714">
      <w:pPr>
        <w:shd w:val="clear" w:color="000000" w:fill="auto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06E3E">
        <w:rPr>
          <w:rFonts w:ascii="Times New Roman" w:hAnsi="Times New Roman"/>
          <w:color w:val="000000"/>
          <w:sz w:val="28"/>
          <w:szCs w:val="24"/>
        </w:rPr>
        <w:t>Функция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рискового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вложения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капитала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проявляется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венчурного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финансирования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инвестиций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рынке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Вложение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капитала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новый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продукт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или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новую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операцию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всегда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связано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неопределенностью,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большим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риском.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Поэтому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обычно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осуществляется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через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создание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венчурных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фондов.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Содержанием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функции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инновационного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процесса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является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рациональная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организация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инновационной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деятельности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по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созданию,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реализации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распространению</w:t>
      </w:r>
      <w:r w:rsidR="00225633" w:rsidRPr="00506E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6E3E">
        <w:rPr>
          <w:rFonts w:ascii="Times New Roman" w:hAnsi="Times New Roman"/>
          <w:color w:val="000000"/>
          <w:sz w:val="28"/>
          <w:szCs w:val="24"/>
        </w:rPr>
        <w:t>инноваций.</w:t>
      </w:r>
      <w:bookmarkStart w:id="0" w:name="_GoBack"/>
      <w:bookmarkEnd w:id="0"/>
    </w:p>
    <w:sectPr w:rsidR="0091214C" w:rsidRPr="00506E3E" w:rsidSect="000117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176"/>
    <w:multiLevelType w:val="multilevel"/>
    <w:tmpl w:val="5B8A197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300A8A"/>
    <w:multiLevelType w:val="hybridMultilevel"/>
    <w:tmpl w:val="214E0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2CAA"/>
    <w:multiLevelType w:val="hybridMultilevel"/>
    <w:tmpl w:val="8118D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4D32"/>
    <w:multiLevelType w:val="hybridMultilevel"/>
    <w:tmpl w:val="F286BD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317200"/>
    <w:multiLevelType w:val="multilevel"/>
    <w:tmpl w:val="99EEC1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4450898"/>
    <w:multiLevelType w:val="hybridMultilevel"/>
    <w:tmpl w:val="B17A23AC"/>
    <w:lvl w:ilvl="0" w:tplc="ABC64916">
      <w:start w:val="1"/>
      <w:numFmt w:val="bullet"/>
      <w:lvlText w:val="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1BF8"/>
    <w:multiLevelType w:val="multilevel"/>
    <w:tmpl w:val="56C642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3A963CA8"/>
    <w:multiLevelType w:val="multilevel"/>
    <w:tmpl w:val="910C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F7AAC"/>
    <w:multiLevelType w:val="hybridMultilevel"/>
    <w:tmpl w:val="DD602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2467D"/>
    <w:multiLevelType w:val="hybridMultilevel"/>
    <w:tmpl w:val="C49039D8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5E1B7E06"/>
    <w:multiLevelType w:val="hybridMultilevel"/>
    <w:tmpl w:val="7880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14C"/>
    <w:rsid w:val="00011714"/>
    <w:rsid w:val="000B4FE1"/>
    <w:rsid w:val="000E5364"/>
    <w:rsid w:val="00147F6A"/>
    <w:rsid w:val="001878F1"/>
    <w:rsid w:val="00225633"/>
    <w:rsid w:val="002A7451"/>
    <w:rsid w:val="002B3304"/>
    <w:rsid w:val="002C64AD"/>
    <w:rsid w:val="0035100A"/>
    <w:rsid w:val="003F5773"/>
    <w:rsid w:val="004878A1"/>
    <w:rsid w:val="004A6AE5"/>
    <w:rsid w:val="00506E3E"/>
    <w:rsid w:val="00616B2A"/>
    <w:rsid w:val="006F0A33"/>
    <w:rsid w:val="007C4C5F"/>
    <w:rsid w:val="00891D29"/>
    <w:rsid w:val="0091214C"/>
    <w:rsid w:val="00930B6A"/>
    <w:rsid w:val="00961FC7"/>
    <w:rsid w:val="009D3428"/>
    <w:rsid w:val="009F63F4"/>
    <w:rsid w:val="00B466BF"/>
    <w:rsid w:val="00B606F5"/>
    <w:rsid w:val="00B97B67"/>
    <w:rsid w:val="00C12B65"/>
    <w:rsid w:val="00E44073"/>
    <w:rsid w:val="00F3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9C8325E-D18B-427A-96A8-864DA710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C"/>
    <w:pPr>
      <w:spacing w:after="200" w:line="360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14C"/>
    <w:rPr>
      <w:rFonts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12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1214C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2C64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2B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171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4846-60F2-4338-8111-541FF92C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dcterms:created xsi:type="dcterms:W3CDTF">2014-02-28T10:01:00Z</dcterms:created>
  <dcterms:modified xsi:type="dcterms:W3CDTF">2014-02-28T10:01:00Z</dcterms:modified>
</cp:coreProperties>
</file>