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1F" w:rsidRDefault="0096141F">
      <w:pPr>
        <w:ind w:firstLine="709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   Общая характеристика</w:t>
      </w:r>
    </w:p>
    <w:p w:rsidR="0096141F" w:rsidRDefault="0096141F">
      <w:pPr>
        <w:ind w:firstLine="709"/>
        <w:jc w:val="center"/>
        <w:rPr>
          <w:b/>
          <w:sz w:val="28"/>
          <w:lang w:val="en-US"/>
        </w:rPr>
      </w:pPr>
    </w:p>
    <w:p w:rsidR="0096141F" w:rsidRDefault="0096141F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Одна из трудно разрешимых проблем, с которой встречались исследователи при описании системы коммуникации, основной на использовании гормонов, представлено на схеме (рис. 1). Во внеклеточной жидкости гормоны присутствуют в очень низкой концентрации – обычно в пределах 10(-15) - 10(-19) моль</w:t>
      </w:r>
      <w:r>
        <w:rPr>
          <w:sz w:val="28"/>
          <w:lang w:val="en-US"/>
        </w:rPr>
        <w:t>/</w:t>
      </w:r>
      <w:r>
        <w:rPr>
          <w:sz w:val="28"/>
        </w:rPr>
        <w:t>л. Это на много ниже содержание других, структурно сходных соединений (стеролов, аминокислот, пептидов, белков) и иных веществ, каторые находятся в крови в концентрации 10(-5) – 10(-3) моль</w:t>
      </w:r>
      <w:r>
        <w:rPr>
          <w:sz w:val="28"/>
          <w:lang w:val="en-US"/>
        </w:rPr>
        <w:t>/</w:t>
      </w:r>
      <w:r>
        <w:rPr>
          <w:sz w:val="28"/>
        </w:rPr>
        <w:t xml:space="preserve">л. </w:t>
      </w:r>
      <w:r>
        <w:rPr>
          <w:sz w:val="28"/>
          <w:lang w:val="en-US"/>
        </w:rPr>
        <w:t>Сл</w:t>
      </w:r>
      <w:r>
        <w:rPr>
          <w:sz w:val="28"/>
        </w:rPr>
        <w:t>едовательно, клетки-мишени должны отличать данный гормон не только от других гормонов, присутствующих в малых количествах, но и от прочих соединений, присутствующих в 10</w:t>
      </w:r>
      <w:r>
        <w:rPr>
          <w:sz w:val="28"/>
          <w:lang w:val="en-US"/>
        </w:rPr>
        <w:t>(6)</w:t>
      </w:r>
      <w:r>
        <w:rPr>
          <w:sz w:val="28"/>
        </w:rPr>
        <w:t xml:space="preserve">– 10(9) – кратном количестве. Столь высокую степень избирательности обеспечивают особые принадлежащие клетке молекулы узнавания, называемые </w:t>
      </w:r>
      <w:r>
        <w:rPr>
          <w:b/>
          <w:sz w:val="28"/>
        </w:rPr>
        <w:t xml:space="preserve">рецепторы. </w:t>
      </w:r>
      <w:r>
        <w:rPr>
          <w:sz w:val="28"/>
        </w:rPr>
        <w:t>Биологический эффект гормонов начинается с их связывания со специфическими рецепторами</w:t>
      </w:r>
      <w:r>
        <w:rPr>
          <w:sz w:val="28"/>
          <w:lang w:val="en-US"/>
        </w:rPr>
        <w:t>,</w:t>
      </w:r>
      <w:r>
        <w:rPr>
          <w:sz w:val="28"/>
        </w:rPr>
        <w:t xml:space="preserve"> а завершается</w:t>
      </w:r>
      <w:r>
        <w:rPr>
          <w:sz w:val="28"/>
          <w:lang w:val="en-US"/>
        </w:rPr>
        <w:t xml:space="preserve">, </w:t>
      </w:r>
      <w:r>
        <w:rPr>
          <w:sz w:val="28"/>
        </w:rPr>
        <w:t>как правило диссоциацией гормона и рецептора (в соответствии с тем принципов, что надежная система контроля должна обладать средством прерывания действия агента).</w:t>
      </w:r>
    </w:p>
    <w:p w:rsidR="0096141F" w:rsidRDefault="00CF405B">
      <w:pPr>
        <w:spacing w:line="200" w:lineRule="atLeast"/>
        <w:ind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.15pt;margin-top:18.85pt;width:453.3pt;height:244.85pt;z-index:251658752" o:allowincell="f">
            <v:imagedata r:id="rId6" o:title=""/>
            <w10:wrap type="topAndBottom"/>
          </v:shape>
        </w:pict>
      </w:r>
    </w:p>
    <w:p w:rsidR="0096141F" w:rsidRDefault="0096141F">
      <w:pPr>
        <w:spacing w:line="200" w:lineRule="atLeast"/>
        <w:jc w:val="both"/>
        <w:rPr>
          <w:sz w:val="28"/>
        </w:rPr>
      </w:pPr>
    </w:p>
    <w:p w:rsidR="0096141F" w:rsidRDefault="0096141F">
      <w:pPr>
        <w:spacing w:line="200" w:lineRule="atLeast"/>
        <w:jc w:val="both"/>
      </w:pPr>
      <w:r>
        <w:rPr>
          <w:sz w:val="28"/>
        </w:rPr>
        <w:t xml:space="preserve">Рис 1. </w:t>
      </w:r>
      <w:r>
        <w:t>Специфичность и избирательность рецепторов гормонов. Во внеклеточной жидкости содержится множество разнообразных соединений, но рецепторы узнают лишь очень немногие из них. Кроме того, рецепторы должны выбрать определенные молекулы из множества других, присутствующих в более высокой концентрации. На рисунке показано, что каждая клетка может нести либо один тип рецепторов, либо     несколько</w:t>
      </w:r>
    </w:p>
    <w:p w:rsidR="0096141F" w:rsidRDefault="0096141F">
      <w:pPr>
        <w:pStyle w:val="1"/>
        <w:ind w:firstLine="0"/>
        <w:jc w:val="left"/>
      </w:pPr>
    </w:p>
    <w:p w:rsidR="0096141F" w:rsidRDefault="0096141F"/>
    <w:p w:rsidR="0096141F" w:rsidRDefault="0096141F">
      <w:pPr>
        <w:pStyle w:val="1"/>
        <w:ind w:firstLine="0"/>
        <w:rPr>
          <w:b/>
        </w:rPr>
      </w:pPr>
      <w:r>
        <w:rPr>
          <w:b/>
        </w:rPr>
        <w:t>Механизм действия инсулина</w:t>
      </w:r>
    </w:p>
    <w:p w:rsidR="0096141F" w:rsidRDefault="0096141F">
      <w:pPr>
        <w:pStyle w:val="1"/>
        <w:ind w:firstLine="0"/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b/>
          <w:sz w:val="28"/>
        </w:rPr>
        <w:t>Рецепторы инсулина</w:t>
      </w:r>
      <w:r>
        <w:rPr>
          <w:sz w:val="28"/>
        </w:rPr>
        <w:t>. Действие инсулина начинается с его связывания со специфическим гликопротеиновым рецептором на поверхности клетки-мишени. Различные эффекты этого гормона (рис 2.) могут проявляться либо через несколько секунд или минут (транспорт, фосфорилирование белков, активации и ингибирование ферментов,  синтез РНК), либо через несколько часов (синтез белка и ДНК и клеточный рост).</w:t>
      </w:r>
    </w:p>
    <w:p w:rsidR="0096141F" w:rsidRDefault="00CF405B">
      <w:pPr>
        <w:spacing w:line="200" w:lineRule="atLeast"/>
        <w:ind w:firstLine="709"/>
        <w:jc w:val="both"/>
        <w:rPr>
          <w:sz w:val="28"/>
        </w:rPr>
      </w:pPr>
      <w:r>
        <w:pict>
          <v:shape id="_x0000_s1076" type="#_x0000_t75" style="position:absolute;left:0;text-align:left;margin-left:64.05pt;margin-top:17.6pt;width:334.55pt;height:396pt;z-index:251659776" o:allowincell="f">
            <v:imagedata r:id="rId7" o:title=""/>
            <w10:wrap type="topAndBottom"/>
          </v:shape>
        </w:pict>
      </w:r>
    </w:p>
    <w:p w:rsidR="0096141F" w:rsidRDefault="0096141F">
      <w:pPr>
        <w:spacing w:line="200" w:lineRule="atLeast"/>
        <w:jc w:val="both"/>
        <w:rPr>
          <w:sz w:val="24"/>
          <w:lang w:val="en-US"/>
        </w:rPr>
      </w:pPr>
      <w:r>
        <w:rPr>
          <w:sz w:val="28"/>
        </w:rPr>
        <w:t xml:space="preserve">Рис 2. </w:t>
      </w:r>
      <w:r>
        <w:rPr>
          <w:sz w:val="24"/>
        </w:rPr>
        <w:t xml:space="preserve">Связь между рецептором инсулина и его действием. </w:t>
      </w:r>
      <w:r>
        <w:rPr>
          <w:sz w:val="24"/>
          <w:lang w:val="en-US"/>
        </w:rPr>
        <w:t>(Courtesy of C. R. Kahn.)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Инсулиновый рецептор подробно исследован с помощью биохимических методов и технологии рекомбинантных ДНК. Он представляет собой гетеродимер, состоящий из двух субъединиц (</w:t>
      </w:r>
      <w:r>
        <w:rPr>
          <w:sz w:val="28"/>
        </w:rPr>
        <w:sym w:font="Symbol" w:char="F061"/>
      </w:r>
      <w:r>
        <w:rPr>
          <w:sz w:val="28"/>
        </w:rPr>
        <w:t xml:space="preserve"> и </w:t>
      </w:r>
      <w:r>
        <w:rPr>
          <w:sz w:val="28"/>
        </w:rPr>
        <w:sym w:font="Symbol" w:char="F062"/>
      </w:r>
      <w:r>
        <w:rPr>
          <w:sz w:val="28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в конфигурации</w:t>
      </w:r>
      <w:r>
        <w:rPr>
          <w:b/>
          <w:sz w:val="28"/>
        </w:rPr>
        <w:t xml:space="preserve"> </w:t>
      </w:r>
      <w:r>
        <w:rPr>
          <w:sz w:val="32"/>
        </w:rPr>
        <w:t>α</w:t>
      </w:r>
      <w:r>
        <w:rPr>
          <w:sz w:val="16"/>
        </w:rPr>
        <w:t>2</w:t>
      </w:r>
      <w:r>
        <w:rPr>
          <w:b/>
          <w:sz w:val="28"/>
          <w:lang w:val="en-US"/>
        </w:rPr>
        <w:t>-</w:t>
      </w:r>
      <w:r>
        <w:rPr>
          <w:sz w:val="28"/>
        </w:rPr>
        <w:t>β</w:t>
      </w:r>
      <w:r>
        <w:rPr>
          <w:sz w:val="16"/>
        </w:rPr>
        <w:t>2</w:t>
      </w:r>
      <w:r>
        <w:rPr>
          <w:b/>
          <w:sz w:val="28"/>
        </w:rPr>
        <w:t xml:space="preserve">, </w:t>
      </w:r>
      <w:r>
        <w:rPr>
          <w:sz w:val="28"/>
        </w:rPr>
        <w:t>связанных между собой</w:t>
      </w:r>
      <w:r>
        <w:rPr>
          <w:b/>
          <w:sz w:val="28"/>
        </w:rPr>
        <w:t xml:space="preserve">  </w:t>
      </w:r>
      <w:r>
        <w:rPr>
          <w:sz w:val="28"/>
        </w:rPr>
        <w:t>дисульфидными мостиками</w:t>
      </w:r>
      <w:r>
        <w:rPr>
          <w:sz w:val="28"/>
          <w:lang w:val="en-US"/>
        </w:rPr>
        <w:t>.</w:t>
      </w:r>
      <w:r>
        <w:rPr>
          <w:sz w:val="28"/>
        </w:rPr>
        <w:t xml:space="preserve"> Обе субъединицы содержат много гликозидных остатков. Удаление сиаловой кислоты и галактозы снижает как способность связывать инсулин, так и активность этого гормона. Каждая из гликопротеиновых субъединиц обладает особой структурой и определенной функцией. </w:t>
      </w:r>
      <w:r>
        <w:rPr>
          <w:sz w:val="28"/>
        </w:rPr>
        <w:sym w:font="Symbol" w:char="F061"/>
      </w:r>
      <w:r>
        <w:rPr>
          <w:sz w:val="28"/>
        </w:rPr>
        <w:t xml:space="preserve">-Субъединица (мол. масса 135000) целиком расположена вне клетки, связывание инсулина, вероятно, осуществляется с помощью богатого цистином домена.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-Субъединица (мол. масса 95000) – трансмембранный белок, выполняющий вторую важную функцию рецептора, т. е. преобразование сигнала. Цитоплазматическая часть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-субъединицы обладает тирозинкиназной активностью и содержит участок аутофорилирования. Считается, что и то и другое важно для преобразования сигнала и действия инсулина. Поразительное сходство между тремя рецепторами, выполняющими различные функции, проиллюстрировано на схеме (рис. 3). Действительно, последовательность некоторых участков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 гомологичны таковым в рецепторе </w:t>
      </w:r>
      <w:r w:rsidR="00CF405B">
        <w:pict>
          <v:shape id="_x0000_s1077" type="#_x0000_t75" style="position:absolute;left:0;text-align:left;margin-left:14.35pt;margin-top:198.9pt;width:419.75pt;height:349.75pt;z-index:251660800;mso-position-horizontal-relative:text;mso-position-vertical-relative:text" o:allowincell="f">
            <v:imagedata r:id="rId8" o:title=""/>
            <w10:wrap type="topAndBottom"/>
          </v:shape>
        </w:pict>
      </w:r>
      <w:r>
        <w:rPr>
          <w:sz w:val="28"/>
        </w:rPr>
        <w:t>ФРЭ.</w:t>
      </w:r>
    </w:p>
    <w:p w:rsidR="0096141F" w:rsidRDefault="0096141F">
      <w:pPr>
        <w:spacing w:line="200" w:lineRule="atLeast"/>
        <w:jc w:val="both"/>
        <w:rPr>
          <w:sz w:val="28"/>
        </w:rPr>
      </w:pPr>
    </w:p>
    <w:p w:rsidR="0096141F" w:rsidRDefault="0096141F">
      <w:pPr>
        <w:spacing w:line="200" w:lineRule="atLeast"/>
        <w:jc w:val="both"/>
        <w:rPr>
          <w:sz w:val="24"/>
        </w:rPr>
      </w:pPr>
      <w:r>
        <w:rPr>
          <w:sz w:val="28"/>
        </w:rPr>
        <w:t>Рис 3.</w:t>
      </w:r>
      <w:r>
        <w:rPr>
          <w:sz w:val="24"/>
        </w:rPr>
        <w:t xml:space="preserve">  Схема строения рецепторов липопротеинов низкой плотности (ЛПНП), фактора роста эпидермиса (ФРЭ) и инсулина. В каждом из этих рецепторов аминоконцы находятся в той части молекулы, которая выступает из клетки. Рамками обозначены участки, богатые цистеином, которые, как считают, участвуют в связывании лиганда. В каждом рецепторе (</w:t>
      </w:r>
      <w:r>
        <w:rPr>
          <w:sz w:val="24"/>
          <w:lang w:val="en-US"/>
        </w:rPr>
        <w:t>~</w:t>
      </w:r>
      <w:r>
        <w:rPr>
          <w:sz w:val="24"/>
        </w:rPr>
        <w:t>25 аминокислот) имеется короткий домен, пересекающий плазматическу мембрану (серая полоса), и внутриклеточный домен варьирующей длинны. Рецепторы ФРЭ  и инсулина обладают тирозинкиназной активностью, локализованном в цитоплазматическом домене; кроме того, в этом домене находятся участки, в которых происходит аутофосфорилирование. Инсулиновый рецептор представляет собой гетеротетрамер, отдельные цепи (вертикальные полосы) которые связаны между собой дисульфидными мостиками.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Рецептор инсулина постоянно синтезируется и распадается</w:t>
      </w:r>
      <w:r>
        <w:rPr>
          <w:sz w:val="28"/>
          <w:lang w:val="en-US"/>
        </w:rPr>
        <w:t>;</w:t>
      </w:r>
      <w:r>
        <w:rPr>
          <w:sz w:val="28"/>
        </w:rPr>
        <w:t xml:space="preserve"> его период полужизни составляет 7 – 12 ч. Рецептор синтезируется в виде одноцепочечного пептида в шероховатом эндоплазматическом ретикулуме и быстро гликозируется в аппарате Гольджи. Предшественник человеческого рецептора инсулина состоит из 1382 аминокислот, его мол. масса составляет 190000, при расщеплении он образует зрелые </w:t>
      </w:r>
      <w:r>
        <w:rPr>
          <w:sz w:val="28"/>
        </w:rPr>
        <w:sym w:font="Symbol" w:char="F061"/>
      </w:r>
      <w:r>
        <w:rPr>
          <w:sz w:val="28"/>
        </w:rPr>
        <w:t xml:space="preserve">- и </w:t>
      </w:r>
      <w:r>
        <w:rPr>
          <w:sz w:val="28"/>
        </w:rPr>
        <w:sym w:font="Symbol" w:char="F062"/>
      </w:r>
      <w:r>
        <w:rPr>
          <w:sz w:val="28"/>
        </w:rPr>
        <w:t>-субъединицы. У человека ген инсулинового рецептора локализован в хромосоме 19.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Рецепторы инсулина обнаружены на поверхности большинства клеток млекопитающих. Их концентрация достигает 20000 на клетку, причем часто они выявляются и на таких клетках, которые не  относятся к типичным мишеням инсулин. Спектр метаболических эффектов инсулина хорошо известен. Однако инсулин участвует и в таких процессах, как рост и репликация клеток, органогенез и дифференцировка у плода, а также в процессах заживления и регенерации тканей. Строение инсулинового рецептора, способность различных инсулинов связываются с рецепторами, и вызывать биологические реакции практически идентичны в клетках всех типов и всех видов. Так, свиной инсулин почти всегда в 10 – 20 раз эффективнее свиного проинсулина, который в свою очередь в 10 – 20 раз эффективнее инсулина морской свинки даже у самой морской свинки. Инсулиновый рецептор имеет, по-видимому, высоко консервативную структуру, еще более консервативную, чем структура самого инсулина.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При связывании инсулина с рецептором происходят следующие события: 1) изменяется конформация рецептора,</w:t>
      </w:r>
    </w:p>
    <w:p w:rsidR="0096141F" w:rsidRDefault="0096141F">
      <w:pPr>
        <w:spacing w:line="200" w:lineRule="atLeast"/>
        <w:ind w:left="1134" w:hanging="425"/>
        <w:jc w:val="both"/>
        <w:rPr>
          <w:sz w:val="28"/>
        </w:rPr>
      </w:pPr>
      <w:r>
        <w:rPr>
          <w:sz w:val="28"/>
        </w:rPr>
        <w:t xml:space="preserve">      2) рецепторы связываются друг с другом, образуя микроагрегаты,                                                                                                      пятна (</w:t>
      </w:r>
      <w:r>
        <w:rPr>
          <w:sz w:val="28"/>
          <w:lang w:val="en-US"/>
        </w:rPr>
        <w:t>patches)</w:t>
      </w:r>
      <w:r>
        <w:rPr>
          <w:sz w:val="28"/>
        </w:rPr>
        <w:t xml:space="preserve"> или нашлепки,</w:t>
      </w:r>
    </w:p>
    <w:p w:rsidR="0096141F" w:rsidRDefault="0096141F">
      <w:pPr>
        <w:spacing w:line="200" w:lineRule="atLeast"/>
        <w:ind w:left="1134" w:hanging="425"/>
        <w:jc w:val="both"/>
        <w:rPr>
          <w:sz w:val="28"/>
        </w:rPr>
      </w:pPr>
      <w:r>
        <w:rPr>
          <w:sz w:val="28"/>
        </w:rPr>
        <w:t xml:space="preserve">      3) рецептор подвергается интернализации,</w:t>
      </w:r>
    </w:p>
    <w:p w:rsidR="0096141F" w:rsidRDefault="0096141F">
      <w:pPr>
        <w:spacing w:line="200" w:lineRule="atLeast"/>
        <w:ind w:left="1134" w:hanging="425"/>
        <w:jc w:val="both"/>
        <w:rPr>
          <w:sz w:val="28"/>
        </w:rPr>
      </w:pPr>
      <w:r>
        <w:rPr>
          <w:sz w:val="28"/>
        </w:rPr>
        <w:t xml:space="preserve">      4) возникает какой то сигнал.</w:t>
      </w:r>
    </w:p>
    <w:p w:rsidR="0096141F" w:rsidRDefault="0096141F">
      <w:pPr>
        <w:spacing w:line="200" w:lineRule="atLeast"/>
        <w:jc w:val="both"/>
        <w:rPr>
          <w:sz w:val="28"/>
        </w:rPr>
      </w:pPr>
      <w:r>
        <w:rPr>
          <w:sz w:val="28"/>
        </w:rPr>
        <w:t>Значение конформационных изменений рецептора не известно, но интернализация, вероятно, служит средством регуляции количества и кругооборота рецепторов. В условиях высокого содержания инсулина в плазме, например при ожирении и акромегалии, число инсулиновых рецепторов снижается, и чувствительность тканей-мишений к инсулину уменьшается. Такая</w:t>
      </w:r>
      <w:r>
        <w:rPr>
          <w:sz w:val="28"/>
          <w:lang w:val="en-US"/>
        </w:rPr>
        <w:t xml:space="preserve"> «</w:t>
      </w:r>
      <w:r>
        <w:rPr>
          <w:sz w:val="28"/>
        </w:rPr>
        <w:t>снижающая</w:t>
      </w:r>
      <w:r>
        <w:rPr>
          <w:sz w:val="28"/>
          <w:lang w:val="en-US"/>
        </w:rPr>
        <w:t>» регуляция обусловлена потерей</w:t>
      </w:r>
      <w:r>
        <w:rPr>
          <w:sz w:val="28"/>
        </w:rPr>
        <w:t xml:space="preserve"> рецепторов в результате их интернализации, т. у. Процесса проникновения инсулин-рецепторных комплексов в клетку путем эндоцитоза с помощью покрытых клатрином пузырьков.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В центре внимания современных исследователей лежит тот факт, что инсулиновый рецептор сам является ферментом, чувствительным к инсулину, поскольку при связывании инсулина он подвергается аутофосфорилированию. Эта функция осуществляется 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-субъединицей,     которая, действует как протеинкиназа, переносит </w:t>
      </w:r>
      <w:r>
        <w:rPr>
          <w:sz w:val="28"/>
        </w:rPr>
        <w:sym w:font="Symbol" w:char="F067"/>
      </w:r>
      <w:r>
        <w:rPr>
          <w:sz w:val="28"/>
        </w:rPr>
        <w:t xml:space="preserve">-фосфат с АТР на остаток тирозина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-субъединице. Инсулин повышает </w:t>
      </w:r>
      <w:r>
        <w:rPr>
          <w:i/>
          <w:sz w:val="28"/>
          <w:lang w:val="en-US"/>
        </w:rPr>
        <w:t>V</w:t>
      </w:r>
      <w:r>
        <w:rPr>
          <w:sz w:val="22"/>
          <w:lang w:val="en-US"/>
        </w:rPr>
        <w:t>max</w:t>
      </w:r>
      <w:r>
        <w:rPr>
          <w:sz w:val="28"/>
        </w:rPr>
        <w:t xml:space="preserve">  этой ферментативной реакции, а в двухвалентные катионы, особенно </w:t>
      </w:r>
      <w:r>
        <w:rPr>
          <w:sz w:val="28"/>
          <w:lang w:val="en-US"/>
        </w:rPr>
        <w:t>Mn</w:t>
      </w:r>
      <w:r>
        <w:rPr>
          <w:rFonts w:ascii="Arial" w:hAnsi="Arial"/>
          <w:sz w:val="28"/>
        </w:rPr>
        <w:t>²</w:t>
      </w:r>
      <w:r>
        <w:rPr>
          <w:sz w:val="28"/>
        </w:rPr>
        <w:sym w:font="CommonBullets" w:char="F05F"/>
      </w:r>
      <w:r>
        <w:rPr>
          <w:sz w:val="28"/>
        </w:rPr>
        <w:t xml:space="preserve">, снижают </w:t>
      </w:r>
      <w:r>
        <w:rPr>
          <w:i/>
          <w:sz w:val="28"/>
          <w:lang w:val="en-US"/>
        </w:rPr>
        <w:t>К</w:t>
      </w:r>
      <w:r>
        <w:t>м</w:t>
      </w:r>
      <w:r>
        <w:rPr>
          <w:sz w:val="28"/>
        </w:rPr>
        <w:t xml:space="preserve"> для АТР.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Фосфорилирование тирозина нетипично для клеток млекопитающих (на долю фосфотирозина приходится всего 0,03% фосфоаминокислот, содержащихся в нормальных клетках), и вполне возможно, что наличие у рецепторов ФРЭ, ТФР, ИФР-1 тирозинкиназной активности не случайно. Существует предложение, что тирозинкиназная активность – важный фактор в действии продуктов ряда вирусных анкогенов. Их связь с клеточными аналогами онкогенов, обладающими сходными свойствами при злокачественном и нормальном клеточном росте, расматривается выше. Изучение структуры этих компонентов выявило высокую степень гомологии между рецепторами и онкогенами, например между рецептором ФРЭ и </w:t>
      </w:r>
      <w:r>
        <w:rPr>
          <w:i/>
          <w:sz w:val="28"/>
          <w:lang w:val="en-US"/>
        </w:rPr>
        <w:t>erb</w:t>
      </w:r>
      <w:r>
        <w:rPr>
          <w:sz w:val="28"/>
        </w:rPr>
        <w:t>-</w:t>
      </w:r>
      <w:r>
        <w:rPr>
          <w:sz w:val="28"/>
          <w:lang w:val="en-US"/>
        </w:rPr>
        <w:t>B</w:t>
      </w:r>
      <w:r>
        <w:rPr>
          <w:sz w:val="28"/>
        </w:rPr>
        <w:t>, между рецептором ТФР и</w:t>
      </w:r>
      <w:r>
        <w:rPr>
          <w:i/>
          <w:sz w:val="28"/>
          <w:lang w:val="en-US"/>
        </w:rPr>
        <w:t xml:space="preserve"> v</w:t>
      </w:r>
      <w:r>
        <w:rPr>
          <w:sz w:val="28"/>
          <w:lang w:val="en-US"/>
        </w:rPr>
        <w:t>-</w:t>
      </w:r>
      <w:r>
        <w:rPr>
          <w:i/>
          <w:sz w:val="28"/>
          <w:lang w:val="en-US"/>
        </w:rPr>
        <w:t xml:space="preserve">sis </w:t>
      </w:r>
      <w:r>
        <w:rPr>
          <w:sz w:val="28"/>
        </w:rPr>
        <w:t xml:space="preserve">и между инсулиновым рецептором </w:t>
      </w:r>
      <w:r>
        <w:rPr>
          <w:i/>
          <w:sz w:val="28"/>
          <w:lang w:val="en-US"/>
        </w:rPr>
        <w:t>v</w:t>
      </w:r>
      <w:r>
        <w:rPr>
          <w:sz w:val="28"/>
          <w:lang w:val="en-US"/>
        </w:rPr>
        <w:t>-</w:t>
      </w:r>
      <w:r>
        <w:rPr>
          <w:i/>
          <w:sz w:val="28"/>
          <w:lang w:val="en-US"/>
        </w:rPr>
        <w:t>ros</w:t>
      </w:r>
      <w:r>
        <w:rPr>
          <w:i/>
          <w:sz w:val="28"/>
        </w:rPr>
        <w:t>.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Участие тирозинкиназы в преобразовании инсулин-рецепторного сигнала не доказано, но оно могло бы заключатся в фосфорилировании специфического белка, инициирующего действие инсулина, в запуске каскада фосфорилирование-дефосфорилирование, в изменение некоторых свойств клеточной мембраны или образование какого-то связанного с мембраной продукта, например фосфолипида.</w:t>
      </w:r>
    </w:p>
    <w:p w:rsidR="0096141F" w:rsidRDefault="0096141F">
      <w:pPr>
        <w:tabs>
          <w:tab w:val="left" w:pos="1418"/>
        </w:tabs>
        <w:spacing w:line="200" w:lineRule="atLeast"/>
        <w:ind w:firstLine="709"/>
        <w:jc w:val="center"/>
        <w:rPr>
          <w:sz w:val="28"/>
        </w:rPr>
      </w:pPr>
    </w:p>
    <w:p w:rsidR="0096141F" w:rsidRDefault="0096141F">
      <w:pPr>
        <w:spacing w:line="200" w:lineRule="atLeast"/>
        <w:ind w:firstLine="709"/>
        <w:jc w:val="center"/>
        <w:rPr>
          <w:b/>
          <w:sz w:val="28"/>
          <w:lang w:val="en-US"/>
        </w:rPr>
      </w:pPr>
      <w:r>
        <w:rPr>
          <w:b/>
          <w:sz w:val="28"/>
        </w:rPr>
        <w:t>Фосфолирование-дефосфолирование белка.</w:t>
      </w:r>
    </w:p>
    <w:p w:rsidR="0096141F" w:rsidRDefault="0096141F">
      <w:pPr>
        <w:spacing w:line="200" w:lineRule="atLeast"/>
        <w:ind w:firstLine="709"/>
        <w:jc w:val="center"/>
        <w:rPr>
          <w:sz w:val="28"/>
          <w:lang w:val="en-US"/>
        </w:rPr>
      </w:pPr>
    </w:p>
    <w:p w:rsidR="0096141F" w:rsidRDefault="0096141F">
      <w:pPr>
        <w:pStyle w:val="a5"/>
      </w:pPr>
      <w:r>
        <w:t>Многие из метаболических эффектов инсулина, особенно те, которые возникают быстро, опосредованы его влиянием на реакции фосфолирование-дефосфолирование белка, что в свою очередь влияет на ферментативную активность данного белка. Перечень ферментов, активность которых регулируется таким путем, приведен в таблице (</w:t>
      </w:r>
      <w:r>
        <w:rPr>
          <w:lang w:val="en-US"/>
        </w:rPr>
        <w:t>?</w:t>
      </w:r>
      <w:r>
        <w:t>). в некоторых случаях инсулин снижает внутриклеточное содержание сАМР (активируя сАМР-фосфодиэстеразу), что приводит к уменьшению активности сАМР-зависимой протеинкиназы. Такие эффекты характерны для гликогенсинтазы и фосфорилазы. В других случаях действия инсулина не зависит от сАМР и сводится к активации других протеинкиназ (например, в случае тирозинкиназы инсулинового рецептора), ингибированию третьих протеинкиназ или (что значительно чаще) к стимуляции фосфотаз фосфопротеинов. Дефосфолирование увеличивает активность ряда ключевых ферментов (таб.</w:t>
      </w:r>
      <w:r>
        <w:rPr>
          <w:lang w:val="en-US"/>
        </w:rPr>
        <w:t>1</w:t>
      </w:r>
      <w:r>
        <w:t>). Такие ковалентные модификации обеспечивают почти мгновенные изменения активностей ферментов.</w:t>
      </w:r>
    </w:p>
    <w:p w:rsidR="0096141F" w:rsidRDefault="0096141F">
      <w:pPr>
        <w:pStyle w:val="a5"/>
        <w:rPr>
          <w:lang w:val="en-US"/>
        </w:rPr>
      </w:pPr>
    </w:p>
    <w:p w:rsidR="0096141F" w:rsidRDefault="0096141F">
      <w:pPr>
        <w:pStyle w:val="a5"/>
        <w:rPr>
          <w:lang w:val="en-US"/>
        </w:rPr>
      </w:pPr>
    </w:p>
    <w:p w:rsidR="0096141F" w:rsidRDefault="0096141F">
      <w:pPr>
        <w:pStyle w:val="a5"/>
        <w:rPr>
          <w:lang w:val="en-US"/>
        </w:rPr>
      </w:pPr>
    </w:p>
    <w:p w:rsidR="0096141F" w:rsidRDefault="0096141F">
      <w:pPr>
        <w:pStyle w:val="a5"/>
        <w:rPr>
          <w:lang w:val="en-US"/>
        </w:rPr>
      </w:pPr>
    </w:p>
    <w:p w:rsidR="0096141F" w:rsidRDefault="0096141F">
      <w:pPr>
        <w:pStyle w:val="a5"/>
        <w:rPr>
          <w:lang w:val="en-US"/>
        </w:rPr>
      </w:pPr>
    </w:p>
    <w:p w:rsidR="0096141F" w:rsidRDefault="0096141F">
      <w:pPr>
        <w:pStyle w:val="a5"/>
        <w:rPr>
          <w:lang w:val="en-US"/>
        </w:rPr>
      </w:pPr>
    </w:p>
    <w:p w:rsidR="0096141F" w:rsidRDefault="0096141F">
      <w:pPr>
        <w:pStyle w:val="a5"/>
        <w:ind w:firstLine="0"/>
        <w:rPr>
          <w:sz w:val="24"/>
        </w:rPr>
      </w:pPr>
      <w:r>
        <w:t>Таблица 1.</w:t>
      </w:r>
      <w:r>
        <w:rPr>
          <w:sz w:val="24"/>
        </w:rPr>
        <w:t xml:space="preserve">Ферменты, степень фосфорилирования и активность каторых регулируется инсулином.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</w:pPr>
            <w:r>
              <w:t>Фермент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</w:pPr>
            <w:r>
              <w:t>Изменения активности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</w:pPr>
            <w:r>
              <w:t>Возможный механизм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Метаболизм сАМР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Фосфодиэстераза</w:t>
            </w:r>
          </w:p>
          <w:p w:rsidR="0096141F" w:rsidRDefault="0096141F">
            <w:pPr>
              <w:pStyle w:val="a5"/>
              <w:ind w:firstLine="284"/>
              <w:rPr>
                <w:sz w:val="16"/>
              </w:rPr>
            </w:pPr>
            <w:r>
              <w:rPr>
                <w:sz w:val="24"/>
              </w:rPr>
              <w:t xml:space="preserve">низкая </w:t>
            </w:r>
            <w:r>
              <w:rPr>
                <w:i/>
                <w:sz w:val="24"/>
              </w:rPr>
              <w:t>К</w:t>
            </w:r>
            <w:r>
              <w:rPr>
                <w:sz w:val="16"/>
              </w:rPr>
              <w:t>М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Фосфолирование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протеинкиназа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(сАМР-зависимая)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Метаболизм гликргена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Гликогенсинтаза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Дефосфолирование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Киназа фосфорилазы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Гликолиз и глюконеогенез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Пируватдегидрогеназа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Пируваткиназа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6-Фосфофрукто-2-киназа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284"/>
              <w:jc w:val="left"/>
              <w:rPr>
                <w:sz w:val="24"/>
              </w:rPr>
            </w:pPr>
            <w:r>
              <w:rPr>
                <w:sz w:val="24"/>
              </w:rPr>
              <w:t>Фруктоза-2,6-</w:t>
            </w:r>
          </w:p>
          <w:p w:rsidR="0096141F" w:rsidRDefault="0096141F">
            <w:pPr>
              <w:pStyle w:val="a5"/>
              <w:ind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бисфосфатаза                                          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Обмен липидов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Ацетил-СоА – 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карбоксилаза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Фосфолирование</w:t>
            </w:r>
          </w:p>
        </w:tc>
      </w:tr>
      <w:tr w:rsidR="0096141F">
        <w:trPr>
          <w:trHeight w:val="70"/>
        </w:trPr>
        <w:tc>
          <w:tcPr>
            <w:tcW w:w="3095" w:type="dxa"/>
          </w:tcPr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ГМГ-СоА-редуктаза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(гидроксиметилглутарил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-СоА-редуктаза)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lang w:val="en-US"/>
              </w:rPr>
            </w:pPr>
          </w:p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Дефосфолирование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Триацилглицероллипаза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96141F">
        <w:tc>
          <w:tcPr>
            <w:tcW w:w="3095" w:type="dxa"/>
          </w:tcPr>
          <w:p w:rsidR="0096141F" w:rsidRDefault="0096141F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Другие процессы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Тирозинкиназа(рецептор</w:t>
            </w:r>
          </w:p>
          <w:p w:rsidR="0096141F" w:rsidRDefault="0096141F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инсулина)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lang w:val="en-US"/>
              </w:rPr>
            </w:pPr>
          </w:p>
          <w:p w:rsidR="0096141F" w:rsidRDefault="0096141F">
            <w:pPr>
              <w:pStyle w:val="a5"/>
              <w:ind w:firstLine="0"/>
              <w:jc w:val="center"/>
            </w:pPr>
            <w:r>
              <w:rPr>
                <w:lang w:val="en-US"/>
              </w:rPr>
              <w:t xml:space="preserve">?  </w:t>
            </w:r>
          </w:p>
        </w:tc>
        <w:tc>
          <w:tcPr>
            <w:tcW w:w="3095" w:type="dxa"/>
          </w:tcPr>
          <w:p w:rsidR="0096141F" w:rsidRDefault="009614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Фосфолирование</w:t>
            </w:r>
          </w:p>
        </w:tc>
      </w:tr>
    </w:tbl>
    <w:p w:rsidR="0096141F" w:rsidRDefault="0096141F">
      <w:pPr>
        <w:pStyle w:val="a5"/>
      </w:pPr>
      <w:r>
        <w:t xml:space="preserve">    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pStyle w:val="1"/>
        <w:rPr>
          <w:b/>
          <w:lang w:val="en-US"/>
        </w:rPr>
      </w:pPr>
      <w:r>
        <w:rPr>
          <w:b/>
        </w:rPr>
        <w:t>Патофизиология</w:t>
      </w:r>
    </w:p>
    <w:p w:rsidR="0096141F" w:rsidRDefault="0096141F">
      <w:pPr>
        <w:rPr>
          <w:lang w:val="en-US"/>
        </w:rPr>
      </w:pPr>
    </w:p>
    <w:p w:rsidR="0096141F" w:rsidRDefault="0096141F">
      <w:pPr>
        <w:ind w:firstLine="709"/>
        <w:jc w:val="both"/>
        <w:rPr>
          <w:sz w:val="28"/>
        </w:rPr>
      </w:pPr>
      <w:r>
        <w:rPr>
          <w:sz w:val="28"/>
        </w:rPr>
        <w:t xml:space="preserve">При недостаточности инсулина или устойчивости к его действию развивается </w:t>
      </w:r>
      <w:r>
        <w:rPr>
          <w:b/>
          <w:sz w:val="28"/>
        </w:rPr>
        <w:t>сахарный диабет</w:t>
      </w:r>
      <w:r>
        <w:rPr>
          <w:sz w:val="28"/>
        </w:rPr>
        <w:t xml:space="preserve">. Примерно у 90% больных диабетом наблюдается инсулин-независимый сахарный диабет </w:t>
      </w:r>
      <w:r>
        <w:rPr>
          <w:sz w:val="28"/>
        </w:rPr>
        <w:sym w:font="Symbol" w:char="F049"/>
      </w:r>
      <w:r>
        <w:rPr>
          <w:sz w:val="28"/>
        </w:rPr>
        <w:sym w:font="Symbol" w:char="F049"/>
      </w:r>
      <w:r>
        <w:rPr>
          <w:sz w:val="28"/>
        </w:rPr>
        <w:t xml:space="preserve"> типа (ИНЗСД). Для таких больных характерны ожирение, повышенное содержание в плазме инсулина и снижение количества инсулиновых рецепторов.</w:t>
      </w:r>
    </w:p>
    <w:p w:rsidR="0096141F" w:rsidRDefault="0096141F">
      <w:pPr>
        <w:ind w:firstLine="709"/>
        <w:jc w:val="both"/>
        <w:rPr>
          <w:sz w:val="28"/>
        </w:rPr>
      </w:pPr>
      <w:r>
        <w:rPr>
          <w:sz w:val="28"/>
        </w:rPr>
        <w:t xml:space="preserve">У некоторых людей образуются антитела к рецепторам инсулина. Эти тела предотвращают связывание инсулина с рецептором, и в результате у таких лиц развивается синдром тяжелой инсулинорезистентности. О важной роли инсулина для органогенеза свидетельствуют редкие случаи </w:t>
      </w:r>
      <w:r>
        <w:rPr>
          <w:b/>
          <w:sz w:val="28"/>
        </w:rPr>
        <w:t>карликовости</w:t>
      </w:r>
      <w:r>
        <w:rPr>
          <w:sz w:val="28"/>
        </w:rPr>
        <w:t xml:space="preserve">. Этот синдром характеризуется низким весом при рождении, малой мышечной массой, малым количеством подкожного жира, очень мелкими чертами лица, инсулинорезистентностью со значительным повышением содержания биологически активного в плазме и ранней смертью. У некоторых таких больных либо совсем отсутствовали рецепторы инсулина, либо они были дефективными               </w:t>
      </w:r>
    </w:p>
    <w:p w:rsidR="0096141F" w:rsidRDefault="0096141F">
      <w:pPr>
        <w:rPr>
          <w:sz w:val="28"/>
        </w:rPr>
      </w:pPr>
    </w:p>
    <w:p w:rsidR="0096141F" w:rsidRDefault="0096141F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Список литературы:</w:t>
      </w:r>
    </w:p>
    <w:p w:rsidR="0096141F" w:rsidRDefault="0096141F">
      <w:pPr>
        <w:spacing w:line="200" w:lineRule="atLeast"/>
        <w:jc w:val="center"/>
        <w:rPr>
          <w:b/>
          <w:sz w:val="28"/>
        </w:rPr>
      </w:pPr>
    </w:p>
    <w:p w:rsidR="0096141F" w:rsidRDefault="0096141F">
      <w:pPr>
        <w:spacing w:line="200" w:lineRule="atLeast"/>
        <w:ind w:firstLine="709"/>
        <w:rPr>
          <w:b/>
          <w:sz w:val="28"/>
        </w:rPr>
      </w:pPr>
    </w:p>
    <w:p w:rsidR="0096141F" w:rsidRDefault="0096141F">
      <w:pPr>
        <w:spacing w:line="200" w:lineRule="atLeast"/>
        <w:ind w:firstLine="567"/>
        <w:rPr>
          <w:b/>
          <w:sz w:val="28"/>
        </w:rPr>
      </w:pPr>
      <w:r>
        <w:rPr>
          <w:sz w:val="28"/>
        </w:rPr>
        <w:t xml:space="preserve">1. Гренер Д. К.  </w:t>
      </w:r>
      <w:r>
        <w:rPr>
          <w:sz w:val="28"/>
          <w:lang w:val="en-US"/>
        </w:rPr>
        <w:t>Марри. Р. Биохимия человека.1998г.</w:t>
      </w:r>
    </w:p>
    <w:p w:rsidR="0096141F" w:rsidRDefault="0096141F">
      <w:pPr>
        <w:spacing w:line="200" w:lineRule="atLeast"/>
        <w:ind w:firstLine="567"/>
        <w:rPr>
          <w:sz w:val="28"/>
        </w:rPr>
      </w:pPr>
    </w:p>
    <w:p w:rsidR="0096141F" w:rsidRDefault="0096141F">
      <w:pPr>
        <w:spacing w:line="200" w:lineRule="atLeast"/>
        <w:ind w:firstLine="567"/>
        <w:rPr>
          <w:sz w:val="28"/>
        </w:rPr>
      </w:pPr>
      <w:r>
        <w:rPr>
          <w:sz w:val="28"/>
        </w:rPr>
        <w:t>2. Кохн К. Р. Молекулярный механизм действия инсулина. 1985г.</w:t>
      </w:r>
    </w:p>
    <w:p w:rsidR="0096141F" w:rsidRDefault="0096141F">
      <w:pPr>
        <w:spacing w:line="200" w:lineRule="atLeast"/>
        <w:ind w:firstLine="567"/>
        <w:rPr>
          <w:sz w:val="28"/>
        </w:rPr>
      </w:pPr>
    </w:p>
    <w:p w:rsidR="0096141F" w:rsidRDefault="0096141F">
      <w:pPr>
        <w:spacing w:line="200" w:lineRule="atLeast"/>
        <w:ind w:left="851" w:hanging="284"/>
        <w:rPr>
          <w:sz w:val="28"/>
          <w:lang w:val="en-US"/>
        </w:rPr>
      </w:pPr>
      <w:r>
        <w:rPr>
          <w:sz w:val="28"/>
        </w:rPr>
        <w:t>3. Andreone I</w:t>
      </w:r>
      <w:r>
        <w:rPr>
          <w:sz w:val="28"/>
          <w:lang w:val="en-US"/>
        </w:rPr>
        <w:t>. Insulin modulation of gene expression, In: Diabetes and        Metabolism Reviews. 1985</w:t>
      </w:r>
    </w:p>
    <w:p w:rsidR="0096141F" w:rsidRDefault="0096141F">
      <w:pPr>
        <w:spacing w:line="200" w:lineRule="atLeast"/>
        <w:ind w:left="851" w:hanging="284"/>
        <w:rPr>
          <w:sz w:val="28"/>
          <w:lang w:val="en-US"/>
        </w:rPr>
      </w:pPr>
    </w:p>
    <w:p w:rsidR="0096141F" w:rsidRDefault="0096141F">
      <w:pPr>
        <w:spacing w:line="200" w:lineRule="atLeast"/>
        <w:ind w:left="851" w:hanging="284"/>
        <w:rPr>
          <w:sz w:val="28"/>
          <w:lang w:val="en-US"/>
        </w:rPr>
      </w:pPr>
      <w:r>
        <w:rPr>
          <w:sz w:val="28"/>
          <w:lang w:val="en-US"/>
        </w:rPr>
        <w:t>4. Kono T. Action of insulin on glucose transport and cAMP phosphodiesterase  in fat cells: Involvement of two distinct molecular mechanisms. 1983</w:t>
      </w:r>
    </w:p>
    <w:p w:rsidR="0096141F" w:rsidRDefault="0096141F">
      <w:pPr>
        <w:spacing w:line="200" w:lineRule="atLeast"/>
        <w:ind w:left="709"/>
        <w:rPr>
          <w:sz w:val="28"/>
          <w:lang w:val="en-US"/>
        </w:rPr>
      </w:pPr>
      <w:r>
        <w:rPr>
          <w:sz w:val="28"/>
        </w:rPr>
        <w:t xml:space="preserve"> </w:t>
      </w:r>
    </w:p>
    <w:p w:rsidR="0096141F" w:rsidRDefault="0096141F">
      <w:pPr>
        <w:spacing w:line="200" w:lineRule="atLeast"/>
        <w:ind w:firstLine="709"/>
        <w:rPr>
          <w:sz w:val="28"/>
        </w:rPr>
      </w:pPr>
    </w:p>
    <w:p w:rsidR="0096141F" w:rsidRDefault="0096141F">
      <w:pPr>
        <w:spacing w:line="200" w:lineRule="atLeast"/>
        <w:ind w:firstLine="709"/>
        <w:rPr>
          <w:sz w:val="28"/>
        </w:rPr>
      </w:pPr>
    </w:p>
    <w:p w:rsidR="0096141F" w:rsidRDefault="0096141F">
      <w:pPr>
        <w:spacing w:line="200" w:lineRule="atLeast"/>
        <w:ind w:firstLine="709"/>
        <w:rPr>
          <w:b/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96141F">
      <w:pPr>
        <w:spacing w:line="200" w:lineRule="atLeast"/>
        <w:ind w:firstLine="709"/>
        <w:jc w:val="both"/>
        <w:rPr>
          <w:sz w:val="28"/>
        </w:rPr>
      </w:pPr>
    </w:p>
    <w:p w:rsidR="0096141F" w:rsidRDefault="00CF405B">
      <w:pPr>
        <w:spacing w:line="200" w:lineRule="atLeast"/>
        <w:ind w:firstLine="709"/>
        <w:jc w:val="both"/>
        <w:rPr>
          <w:sz w:val="28"/>
        </w:rPr>
      </w:pPr>
      <w:r>
        <w:rPr>
          <w:noProof/>
          <w:sz w:val="28"/>
        </w:rPr>
        <w:pict>
          <v:rect id="_x0000_s1049" style="position:absolute;left:0;text-align:left;margin-left:49.85pt;margin-top:136.4pt;width:21.3pt;height:14.2pt;z-index:251657728" o:allowincell="f" strokecolor="white"/>
        </w:pict>
      </w:r>
      <w:r>
        <w:rPr>
          <w:noProof/>
          <w:sz w:val="28"/>
        </w:rPr>
        <w:pict>
          <v:rect id="_x0000_s1048" style="position:absolute;left:0;text-align:left;margin-left:120.85pt;margin-top:122.2pt;width:21.3pt;height:28.4pt;z-index:251656704" o:allowincell="f" strokecolor="white"/>
        </w:pict>
      </w:r>
      <w:r>
        <w:rPr>
          <w:noProof/>
          <w:sz w:val="28"/>
        </w:rPr>
        <w:pict>
          <v:rect id="_x0000_s1047" style="position:absolute;left:0;text-align:left;margin-left:248.65pt;margin-top:115.1pt;width:21.3pt;height:35.5pt;z-index:251655680" o:allowincell="f" strokecolor="white"/>
        </w:pict>
      </w:r>
      <w:r>
        <w:rPr>
          <w:noProof/>
          <w:sz w:val="28"/>
        </w:rPr>
        <w:pict>
          <v:line id="_x0000_s1045" style="position:absolute;left:0;text-align:left;z-index:251654656" from="184.75pt,150.6pt" to="206.05pt,150.6pt" o:allowincell="f" strokecolor="white"/>
        </w:pict>
      </w:r>
      <w:r w:rsidR="0096141F">
        <w:rPr>
          <w:b/>
          <w:sz w:val="28"/>
        </w:rPr>
        <w:t xml:space="preserve"> </w:t>
      </w:r>
      <w:r w:rsidR="0096141F">
        <w:rPr>
          <w:sz w:val="28"/>
        </w:rPr>
        <w:t xml:space="preserve">       </w:t>
      </w:r>
      <w:bookmarkStart w:id="0" w:name="_GoBack"/>
      <w:bookmarkEnd w:id="0"/>
    </w:p>
    <w:sectPr w:rsidR="0096141F">
      <w:footerReference w:type="even" r:id="rId9"/>
      <w:footerReference w:type="default" r:id="rId10"/>
      <w:pgSz w:w="11906" w:h="16838"/>
      <w:pgMar w:top="1134" w:right="1134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1F" w:rsidRDefault="0096141F">
      <w:r>
        <w:separator/>
      </w:r>
    </w:p>
  </w:endnote>
  <w:endnote w:type="continuationSeparator" w:id="0">
    <w:p w:rsidR="0096141F" w:rsidRDefault="009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1F" w:rsidRDefault="009614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96141F" w:rsidRDefault="009614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1F" w:rsidRDefault="00754A77">
    <w:pPr>
      <w:pStyle w:val="a6"/>
      <w:framePr w:wrap="around" w:vAnchor="text" w:hAnchor="page" w:x="6249" w:y="94"/>
      <w:rPr>
        <w:rStyle w:val="a7"/>
        <w:sz w:val="28"/>
      </w:rPr>
    </w:pPr>
    <w:r>
      <w:rPr>
        <w:rStyle w:val="a7"/>
        <w:noProof/>
        <w:sz w:val="28"/>
      </w:rPr>
      <w:t>3</w:t>
    </w:r>
  </w:p>
  <w:p w:rsidR="0096141F" w:rsidRDefault="0096141F">
    <w:pPr>
      <w:pStyle w:val="a6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1F" w:rsidRDefault="0096141F">
      <w:r>
        <w:separator/>
      </w:r>
    </w:p>
  </w:footnote>
  <w:footnote w:type="continuationSeparator" w:id="0">
    <w:p w:rsidR="0096141F" w:rsidRDefault="0096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A77"/>
    <w:rsid w:val="00043689"/>
    <w:rsid w:val="00754A77"/>
    <w:rsid w:val="0096141F"/>
    <w:rsid w:val="00C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FF2DC4B2-C393-417C-99B2-22B1CC4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00" w:lineRule="atLeast"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semiHidden/>
    <w:pPr>
      <w:spacing w:line="200" w:lineRule="atLeast"/>
      <w:ind w:firstLine="709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</vt:lpstr>
    </vt:vector>
  </TitlesOfParts>
  <Company> 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</dc:title>
  <dc:subject/>
  <dc:creator>1</dc:creator>
  <cp:keywords/>
  <cp:lastModifiedBy>admin</cp:lastModifiedBy>
  <cp:revision>2</cp:revision>
  <dcterms:created xsi:type="dcterms:W3CDTF">2014-02-07T08:25:00Z</dcterms:created>
  <dcterms:modified xsi:type="dcterms:W3CDTF">2014-02-07T08:25:00Z</dcterms:modified>
</cp:coreProperties>
</file>