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4A" w:rsidRDefault="0040614A">
      <w:pPr>
        <w:pStyle w:val="a8"/>
      </w:pPr>
    </w:p>
    <w:p w:rsidR="0040614A" w:rsidRDefault="0040614A">
      <w:pPr>
        <w:pStyle w:val="a8"/>
      </w:pPr>
    </w:p>
    <w:p w:rsidR="0040614A" w:rsidRDefault="0040614A">
      <w:pPr>
        <w:pStyle w:val="a8"/>
      </w:pPr>
    </w:p>
    <w:p w:rsidR="0040614A" w:rsidRDefault="0040614A">
      <w:pPr>
        <w:pStyle w:val="a8"/>
      </w:pPr>
    </w:p>
    <w:p w:rsidR="0040614A" w:rsidRDefault="0040614A">
      <w:pPr>
        <w:pStyle w:val="a8"/>
      </w:pPr>
    </w:p>
    <w:p w:rsidR="0040614A" w:rsidRDefault="0040614A">
      <w:pPr>
        <w:pStyle w:val="a8"/>
      </w:pPr>
    </w:p>
    <w:p w:rsidR="0040614A" w:rsidRDefault="0040614A">
      <w:pPr>
        <w:pStyle w:val="a8"/>
      </w:pPr>
    </w:p>
    <w:p w:rsidR="0040614A" w:rsidRDefault="0040614A">
      <w:pPr>
        <w:pStyle w:val="a8"/>
        <w:rPr>
          <w:sz w:val="32"/>
        </w:rPr>
      </w:pPr>
      <w:r>
        <w:rPr>
          <w:sz w:val="32"/>
        </w:rPr>
        <w:t>Содержание</w:t>
      </w:r>
    </w:p>
    <w:p w:rsidR="0040614A" w:rsidRDefault="0040614A">
      <w:pPr>
        <w:pStyle w:val="a8"/>
        <w:jc w:val="left"/>
        <w:rPr>
          <w:sz w:val="32"/>
        </w:rPr>
      </w:pPr>
    </w:p>
    <w:p w:rsidR="0040614A" w:rsidRDefault="0040614A">
      <w:pPr>
        <w:pStyle w:val="a8"/>
        <w:jc w:val="left"/>
        <w:rPr>
          <w:sz w:val="32"/>
        </w:rPr>
      </w:pPr>
    </w:p>
    <w:p w:rsidR="0040614A" w:rsidRDefault="0040614A">
      <w:pPr>
        <w:pStyle w:val="a8"/>
        <w:jc w:val="left"/>
        <w:rPr>
          <w:sz w:val="32"/>
        </w:rPr>
      </w:pPr>
    </w:p>
    <w:p w:rsidR="0040614A" w:rsidRDefault="0040614A">
      <w:pPr>
        <w:pStyle w:val="a8"/>
        <w:jc w:val="left"/>
        <w:rPr>
          <w:sz w:val="32"/>
        </w:rPr>
      </w:pPr>
    </w:p>
    <w:p w:rsidR="0040614A" w:rsidRDefault="0040614A">
      <w:pPr>
        <w:pStyle w:val="a8"/>
        <w:jc w:val="left"/>
        <w:rPr>
          <w:b w:val="0"/>
        </w:rPr>
      </w:pPr>
      <w:r>
        <w:rPr>
          <w:b w:val="0"/>
        </w:rPr>
        <w:t>Введение</w:t>
      </w:r>
    </w:p>
    <w:p w:rsidR="0040614A" w:rsidRDefault="0040614A">
      <w:pPr>
        <w:pStyle w:val="a8"/>
        <w:numPr>
          <w:ilvl w:val="0"/>
          <w:numId w:val="3"/>
        </w:numPr>
        <w:jc w:val="left"/>
        <w:rPr>
          <w:b w:val="0"/>
        </w:rPr>
      </w:pPr>
      <w:r>
        <w:rPr>
          <w:b w:val="0"/>
        </w:rPr>
        <w:t>Инвестиционная политика в российской экономике</w:t>
      </w:r>
      <w:r>
        <w:rPr>
          <w:b w:val="0"/>
        </w:rPr>
        <w:tab/>
      </w:r>
      <w:r>
        <w:rPr>
          <w:b w:val="0"/>
        </w:rPr>
        <w:tab/>
      </w:r>
      <w:r>
        <w:rPr>
          <w:b w:val="0"/>
        </w:rPr>
        <w:tab/>
      </w:r>
      <w:r>
        <w:rPr>
          <w:b w:val="0"/>
        </w:rPr>
        <w:tab/>
        <w:t>3</w:t>
      </w:r>
    </w:p>
    <w:p w:rsidR="0040614A" w:rsidRDefault="0040614A">
      <w:pPr>
        <w:pStyle w:val="a8"/>
        <w:numPr>
          <w:ilvl w:val="1"/>
          <w:numId w:val="3"/>
        </w:numPr>
        <w:jc w:val="left"/>
        <w:rPr>
          <w:b w:val="0"/>
        </w:rPr>
      </w:pPr>
      <w:r>
        <w:rPr>
          <w:b w:val="0"/>
        </w:rPr>
        <w:t>Внутренние источники инвестиций в России</w:t>
      </w:r>
      <w:r>
        <w:rPr>
          <w:b w:val="0"/>
        </w:rPr>
        <w:tab/>
      </w:r>
      <w:r>
        <w:rPr>
          <w:b w:val="0"/>
        </w:rPr>
        <w:tab/>
      </w:r>
      <w:r>
        <w:rPr>
          <w:b w:val="0"/>
        </w:rPr>
        <w:tab/>
      </w:r>
      <w:r>
        <w:rPr>
          <w:b w:val="0"/>
        </w:rPr>
        <w:tab/>
      </w:r>
      <w:r>
        <w:rPr>
          <w:b w:val="0"/>
        </w:rPr>
        <w:tab/>
        <w:t>5</w:t>
      </w:r>
    </w:p>
    <w:p w:rsidR="0040614A" w:rsidRDefault="0040614A">
      <w:pPr>
        <w:pStyle w:val="a8"/>
        <w:numPr>
          <w:ilvl w:val="1"/>
          <w:numId w:val="3"/>
        </w:numPr>
        <w:jc w:val="left"/>
        <w:rPr>
          <w:b w:val="0"/>
        </w:rPr>
      </w:pPr>
      <w:r>
        <w:rPr>
          <w:b w:val="0"/>
        </w:rPr>
        <w:t>Внешние источники инвестиций</w:t>
      </w:r>
      <w:r>
        <w:rPr>
          <w:b w:val="0"/>
        </w:rPr>
        <w:tab/>
      </w:r>
      <w:r>
        <w:rPr>
          <w:b w:val="0"/>
        </w:rPr>
        <w:tab/>
      </w:r>
      <w:r>
        <w:rPr>
          <w:b w:val="0"/>
        </w:rPr>
        <w:tab/>
      </w:r>
      <w:r>
        <w:rPr>
          <w:b w:val="0"/>
        </w:rPr>
        <w:tab/>
      </w:r>
      <w:r>
        <w:rPr>
          <w:b w:val="0"/>
        </w:rPr>
        <w:tab/>
      </w:r>
      <w:r>
        <w:rPr>
          <w:b w:val="0"/>
        </w:rPr>
        <w:tab/>
        <w:t>8</w:t>
      </w:r>
    </w:p>
    <w:p w:rsidR="0040614A" w:rsidRDefault="0040614A">
      <w:pPr>
        <w:pStyle w:val="a8"/>
        <w:numPr>
          <w:ilvl w:val="0"/>
          <w:numId w:val="3"/>
        </w:numPr>
        <w:jc w:val="left"/>
        <w:rPr>
          <w:b w:val="0"/>
        </w:rPr>
      </w:pPr>
      <w:r>
        <w:rPr>
          <w:b w:val="0"/>
        </w:rPr>
        <w:t>Оценка и анализ состояния инвестиционного климата в России</w:t>
      </w:r>
      <w:r>
        <w:rPr>
          <w:b w:val="0"/>
        </w:rPr>
        <w:tab/>
      </w:r>
      <w:r>
        <w:rPr>
          <w:b w:val="0"/>
        </w:rPr>
        <w:tab/>
        <w:t>11</w:t>
      </w:r>
    </w:p>
    <w:p w:rsidR="0040614A" w:rsidRDefault="0040614A">
      <w:pPr>
        <w:pStyle w:val="a8"/>
        <w:jc w:val="left"/>
        <w:rPr>
          <w:b w:val="0"/>
        </w:rPr>
      </w:pPr>
      <w:r>
        <w:rPr>
          <w:b w:val="0"/>
        </w:rPr>
        <w:t>2.1. Инвестиции в реальный сектор экономики</w:t>
      </w:r>
      <w:r>
        <w:rPr>
          <w:b w:val="0"/>
        </w:rPr>
        <w:tab/>
      </w:r>
      <w:r>
        <w:rPr>
          <w:b w:val="0"/>
        </w:rPr>
        <w:tab/>
      </w:r>
      <w:r>
        <w:rPr>
          <w:b w:val="0"/>
        </w:rPr>
        <w:tab/>
      </w:r>
      <w:r>
        <w:rPr>
          <w:b w:val="0"/>
        </w:rPr>
        <w:tab/>
      </w:r>
      <w:r>
        <w:rPr>
          <w:b w:val="0"/>
        </w:rPr>
        <w:tab/>
        <w:t>14</w:t>
      </w:r>
    </w:p>
    <w:p w:rsidR="0040614A" w:rsidRDefault="0040614A">
      <w:pPr>
        <w:pStyle w:val="a8"/>
        <w:numPr>
          <w:ilvl w:val="1"/>
          <w:numId w:val="3"/>
        </w:numPr>
        <w:jc w:val="left"/>
        <w:rPr>
          <w:b w:val="0"/>
        </w:rPr>
      </w:pPr>
      <w:r>
        <w:rPr>
          <w:b w:val="0"/>
        </w:rPr>
        <w:t>Иностранные инвестиции в российскую экономику</w:t>
      </w:r>
      <w:r>
        <w:rPr>
          <w:b w:val="0"/>
        </w:rPr>
        <w:tab/>
      </w:r>
      <w:r>
        <w:rPr>
          <w:b w:val="0"/>
        </w:rPr>
        <w:tab/>
      </w:r>
      <w:r>
        <w:rPr>
          <w:b w:val="0"/>
        </w:rPr>
        <w:tab/>
      </w:r>
      <w:r>
        <w:rPr>
          <w:b w:val="0"/>
        </w:rPr>
        <w:tab/>
        <w:t>19</w:t>
      </w:r>
    </w:p>
    <w:p w:rsidR="0040614A" w:rsidRDefault="0040614A">
      <w:pPr>
        <w:pStyle w:val="a8"/>
        <w:jc w:val="left"/>
        <w:rPr>
          <w:b w:val="0"/>
        </w:rPr>
      </w:pPr>
      <w:r>
        <w:rPr>
          <w:b w:val="0"/>
        </w:rPr>
        <w:t>Заключение</w:t>
      </w:r>
    </w:p>
    <w:p w:rsidR="0040614A" w:rsidRDefault="0040614A">
      <w:pPr>
        <w:pStyle w:val="a8"/>
        <w:jc w:val="left"/>
        <w:rPr>
          <w:b w:val="0"/>
        </w:rPr>
      </w:pPr>
      <w:r>
        <w:rPr>
          <w:b w:val="0"/>
        </w:rPr>
        <w:t>Список литературы</w:t>
      </w:r>
    </w:p>
    <w:p w:rsidR="0040614A" w:rsidRDefault="0040614A"/>
    <w:p w:rsidR="0040614A" w:rsidRDefault="0040614A"/>
    <w:p w:rsidR="0040614A" w:rsidRDefault="0040614A"/>
    <w:p w:rsidR="0040614A" w:rsidRDefault="0040614A"/>
    <w:p w:rsidR="0040614A" w:rsidRDefault="0040614A"/>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r>
        <w:rPr>
          <w:sz w:val="24"/>
        </w:rPr>
        <w:t>Введение</w:t>
      </w:r>
    </w:p>
    <w:p w:rsidR="0040614A" w:rsidRDefault="0040614A">
      <w:pPr>
        <w:rPr>
          <w:sz w:val="24"/>
        </w:rPr>
      </w:pPr>
    </w:p>
    <w:p w:rsidR="0040614A" w:rsidRDefault="0040614A">
      <w:pPr>
        <w:rPr>
          <w:sz w:val="24"/>
        </w:rPr>
      </w:pPr>
    </w:p>
    <w:p w:rsidR="0040614A" w:rsidRDefault="0040614A">
      <w:pPr>
        <w:rPr>
          <w:sz w:val="24"/>
        </w:rPr>
      </w:pPr>
      <w:r>
        <w:rPr>
          <w:sz w:val="24"/>
        </w:rPr>
        <w:t xml:space="preserve">     Теории   международного   движения   капитала   в   западной экономической  литературе  уделено  достаточно  много   внимания. Начиная  с  60-х  годов  появились  работы  об  экономике  стран, принимающих  капитал.  В  этот  период  на  политической  карте в результате бурного национально-освободительного движения возникло большое  число  независимых  развивающихся государств. Вследствие этого  процесса  в  международных  потоках  перемещения  капитала наметилась   тенденция   его   движения   из   развитых  стран  в развивающиеся. Видные западные экономисты  С.Кузнец, Г.Хабернер, Г.Майер  и др. в  своих трудах  доказывают, что  планирование экономического роста в  развивающихся странах  немыслимо в  современных условиях без возможности допуска иностранного капитала в экономику страны.</w:t>
      </w:r>
    </w:p>
    <w:p w:rsidR="0040614A" w:rsidRDefault="0040614A">
      <w:pPr>
        <w:rPr>
          <w:sz w:val="24"/>
        </w:rPr>
      </w:pPr>
      <w:r>
        <w:rPr>
          <w:sz w:val="24"/>
        </w:rPr>
        <w:t>Эти  авторы  развивают  мысль  о  том,  что  благотворное влияние ин. капитала  на   развивающееся  хозяйство   будет   положительно сказываться во всех случаях независимо от того, в какой форме он вторгается в национальную экономику :   - в форме частных  прямых инвестиций  и  кредитов,  в  виде  государственных  инвестиций  ин. кредитов, или в какой-либо иной форме.    В  каждом   случае  находятся  аргументы, оправдывающие  и рекомендующие   иностранный   капитал    в   качестве    наиболее эффективного средства для достижения национального процветания. Прямые  частные   капиталовложения  в   промышленность,  по их утверждению,  не  только  приносят  развивающимся  странам чистый прирост  национального  богатства,  но  и  влекут за собой приток иностранных   специалистов,    которые    способствуют    подъему технического и культурного  уровня страны, облегчают  возможность подготовки  квалифицированных  кадров, распространению  наиболее современных     технологических     методов. Государственные капиталовложения  в  транспорт, связь, коммунальное хозяйство рассматривается  как  один  из  сильнейших  стимулов, поощряющих национальную деятельность. Действительно, с одной  стороны, инокапитал, привлеченный в национальную  экономику  и  используемый  эффективно,   оказывает положительное влияние на экономический рост, помогает  преодолеть отсталость, интегрироваться  в  мировую  экономику.  С другой стороны,   привлечение   ин. капитала   накладывает   определенные обязательства, создает многообразные  формы зависимости страны - заемщика от кредитора, вызывает резкий рост внешнего долга. Таким образом,  для  национальной  экономики  ин. капитал  может   иметь неоднозначные последствия.</w:t>
      </w:r>
    </w:p>
    <w:p w:rsidR="0040614A" w:rsidRDefault="0040614A">
      <w:pPr>
        <w:rPr>
          <w:sz w:val="24"/>
        </w:rPr>
      </w:pPr>
      <w:r>
        <w:rPr>
          <w:sz w:val="24"/>
        </w:rPr>
        <w:t xml:space="preserve">    В  связи  с  этим  ставится  вопрос о расширении прежде всего технической  помощи, направленной  на углубление использования собственных ресурсов, повышения квалификации национальных кадров, а уже  затем о  привлечении инвестиций  в виде  кредитов. Другими словами,  сначала  необходимо  научиться  эффективно использовать свои  финансы,  а  затем  принимать  иностранный  капитал  в свою экономику. На современном этапе  для  России  теоретическое осмысление учеными  вопросов  принятия  ин. капитала  в его различных формах, эффективного его использования, появления финансовой зависимости, являются актуальными и важными. </w:t>
      </w:r>
    </w:p>
    <w:p w:rsidR="0040614A" w:rsidRDefault="0040614A">
      <w:pPr>
        <w:rPr>
          <w:sz w:val="24"/>
        </w:rPr>
      </w:pPr>
    </w:p>
    <w:p w:rsidR="0040614A" w:rsidRDefault="0040614A">
      <w:pPr>
        <w:rPr>
          <w:sz w:val="24"/>
        </w:rPr>
      </w:pPr>
      <w:r>
        <w:rPr>
          <w:sz w:val="24"/>
        </w:rPr>
        <w:t>Помочь государству в преодолении экономического кризиса призваны инвестиции. Инвестиций предназначены для поднятия и развития производства, увеличения его мощностей, технологического уровня. Об инвестициях сказано уже немало: все российские политики давно уже склоняют это слово на разные лады, понимая, что без инвестиций российскому производству не выжить, однако до недавнего времени в нашей стране политическая ситуация складывалась не лучшим образом, политическая нестабильность сдерживала потоки инвестиций, готовых хлынуть на новый, а значит прибыльный, рынок. Никто не хотел вкладывать деньги в стране, которая через пару месяцев может снова стать коммунистической, а значит деньги, вложенные в производство, попросту пропадут. Однако уверенная победа на президентских выборах Б. Н. Ельцина, показала потенциальным инвесторам, что сторонников демократии в нашей стране всё же больше, чем сторонников коммунизма, а значит риск вложений уменьшается. Инвестиции способны вывести страну из кризиса, потому им и уделяется сколько внимания. Насколько важны инвестиции государству может говорить тот факт, что Б.Н. Ельцин просил принятия Государственной Думой бюджета на 1998 год в первом чтении, что было сделано в первую очередь для того, чтобы показать потенциальным инвесторам, что российская экономика уже стабилизировалась  и вложение средств в производство не имеет никакого риска.</w:t>
      </w:r>
    </w:p>
    <w:p w:rsidR="0040614A" w:rsidRDefault="0040614A">
      <w:pPr>
        <w:ind w:firstLine="720"/>
        <w:rPr>
          <w:sz w:val="24"/>
        </w:rPr>
      </w:pPr>
      <w:r>
        <w:rPr>
          <w:sz w:val="24"/>
        </w:rPr>
        <w:t>Проблема инвестиций в нашей стране настолько актуальна, что разговоры о них не утихают. Эта проблема актуальна прежде всего тем, что на инвестициях в России можно нажить огромное состояние, но в то же время боязнь потерять вложенные средства останавливает инвесторов. Российский рынок - один из самых привлекательных для иностранных инвесторов, однако он также и один из самых непредсказуемых, и иностранные инвесторы мечутся из стороны в сторону, пытаясь не упустить свой кусок российского рынка и, в то же время, не потерять свои деньги. При этом иностранные инвесторы ориентируются прежде всего на инвестиционный климат России, который определяется независимыми экспертами и служит для указания на эффективность вложений в той или иной стране.</w:t>
      </w:r>
    </w:p>
    <w:p w:rsidR="0040614A" w:rsidRDefault="0040614A">
      <w:pPr>
        <w:ind w:firstLine="720"/>
        <w:rPr>
          <w:sz w:val="24"/>
        </w:rPr>
      </w:pPr>
      <w:r>
        <w:rPr>
          <w:sz w:val="24"/>
        </w:rPr>
        <w:t>Российские же потенциальные инвесторы давно уже не доверяют правительству, это недоверие обусловлено прежде всего сложившимся стереотипом отношения к власти у россиян - “правительство работает только на себя”. Однако государственная инвестиционная политика сейчас направлена именно на то, чтобы обеспечить инвесторов всеми необходимыми условиями для работы на российском рынке, и потому в перспективе мы можем рассчитывать на изменение ситуации в российской экономике в лучшую сторону. Огромное значение для России имеют не только иностранные, но и внутрироссийские инвестиций, ведь множество людей во время становления рыночной экономики “сколотили” себе огромные состояния, которые в данный момент лежат в европейских и американских банках, иными словами используются для инвестиций в зарубежных странах. Государство всеми силами  пытается  вернуть эти  деньги из-за  рубежа в  российскую экономику, что даст ощутимый толчок развитию российского производства. По данным правоохранительных органов из России было  вывезено,  начиная с  1991 года, около 150 млрд. дол. и не трудно представить себе как эти деньги проявили бы себя в российской экономике.</w:t>
      </w:r>
    </w:p>
    <w:p w:rsidR="0040614A" w:rsidRDefault="0040614A">
      <w:pPr>
        <w:pStyle w:val="10"/>
        <w:spacing w:before="0" w:after="0"/>
        <w:rPr>
          <w:snapToGrid/>
          <w:lang w:val="en-US"/>
        </w:rPr>
      </w:pPr>
      <w:r>
        <w:rPr>
          <w:snapToGrid/>
        </w:rPr>
        <w:tab/>
        <w:t>Вообще же капиталовложения проводятся частными инвесторами в первую очередь ради получения прибыли и, пока мы имеем дело с неуравновешенной экономикой, неясной политической ситуацией и несовершенным законодательством, ни о какой прибыли не может быть и речи, а значит не может быть и речи о долгосрочных стратегических инвестициях в российскую экономику, без чего, в свою очередь, невозможен подъём производства, то есть возрождение экономики России. Определим, что задачами данной работы являются проведение исследования инвестиционного климата России, при последовательном рассмотрении всех факторов, влияющих на его изменение и попытка дать оценку его текущего состояния. В задачу данной работы входит также и исследование источников инвестиций, их перспективность и оценка их состояния на сегодняшний момент. Целью же данной работы назовём оценку перспектив изменений инвестиционного климата в России и его активизации на основе существующих тенденций его развития и инвестиционной политики государства, в которой также необходимо выявить наиболее слабые стороны и указать необходимые меры для их устранения.</w:t>
      </w:r>
    </w:p>
    <w:p w:rsidR="0040614A" w:rsidRDefault="0040614A">
      <w:pPr>
        <w:rPr>
          <w:sz w:val="24"/>
          <w:lang w:val="en-US"/>
        </w:rPr>
      </w:pPr>
    </w:p>
    <w:p w:rsidR="0040614A" w:rsidRDefault="0040614A">
      <w:pPr>
        <w:rPr>
          <w:sz w:val="24"/>
          <w:lang w:val="en-US"/>
        </w:rPr>
      </w:pPr>
    </w:p>
    <w:p w:rsidR="0040614A" w:rsidRDefault="0040614A">
      <w:pPr>
        <w:rPr>
          <w:sz w:val="24"/>
        </w:rPr>
      </w:pPr>
      <w:r>
        <w:rPr>
          <w:sz w:val="24"/>
        </w:rPr>
        <w:t>1. Инвестиционная политика в российской экономике.</w:t>
      </w:r>
    </w:p>
    <w:p w:rsidR="0040614A" w:rsidRDefault="0040614A">
      <w:pPr>
        <w:rPr>
          <w:sz w:val="24"/>
        </w:rPr>
      </w:pPr>
    </w:p>
    <w:p w:rsidR="0040614A" w:rsidRDefault="0040614A">
      <w:pPr>
        <w:ind w:firstLine="720"/>
        <w:rPr>
          <w:sz w:val="24"/>
        </w:rPr>
      </w:pPr>
      <w:r>
        <w:rPr>
          <w:sz w:val="24"/>
        </w:rPr>
        <w:t>Инвестиции (капитальные вложения) - это совокупность затрат материальных, трудовых и денежных ресурсов, направленных на расширенное воспроизводство, основных фондов всех отраслей народного хозяйства. Инвестиции - относительно новый для нашей экономики термин. В рамках централизованной плановой системы использовалось понятие "валовые капитальные вложения", под которыми понимались все затраты на воспроизводство основных фондов, включая затраты на их ремонт. Инвестиции - более широкое понятие. Оно охватывает и так называемые реальные инвестиции, близкие по содержанию к нашему термину "капитальные  вложения", и "финансовые" (портфельные)  инвестиции, то есть вложения в акции, облигации, другие ценные бумаги, связанные непосредственно с титулом  собственника, дающим право на получение доходов от собственности. Финансовые инвестиции могут стать как  дополнительным источником капитальных вложений, так и предметом биржевой игры на рынке ценных бумаг. Но часть портфельных инвестиций - вложения в акции предприятий различных отраслей материального производства - по своей природе ничем не отличаются от прямых инвестиций в производство. В журнале "Экономист" определены основные направления инвестиционной политики. Были выделены следующие главные задачи инвестиционной политики: формирование благоприятной среды, способствующей повышению инвестиционной активности негосударственного сектора, привлечение частных отечественных и иностранных инвестиций для реконструкции предприятий, а также государственная поддержка важнейших жизнеобеспечивающих производств и социальной сферы при  повышении  эффективности капитальных вложений.</w:t>
      </w:r>
    </w:p>
    <w:p w:rsidR="0040614A" w:rsidRDefault="0040614A">
      <w:pPr>
        <w:rPr>
          <w:sz w:val="24"/>
        </w:rPr>
      </w:pPr>
      <w:r>
        <w:rPr>
          <w:sz w:val="24"/>
        </w:rPr>
        <w:tab/>
        <w:t>Инвестиционная политика, которой придерживается государство имеет огромное влияние на развитие капиталовложений в стране, как частных, так и государственных. Именно она формирует так называемый инвестиционный климат страны, поэтому правительство России оказывает ей огромное внимание, однако на данный момент инвестиционная политика нашего государства ещё слаба, что обусловлено в основном незащищённостью расходов бюджета на инвестиционные цели, бюджетные средства расхищаются или направляются не на те цели, на которые направлялись.</w:t>
      </w:r>
    </w:p>
    <w:p w:rsidR="0040614A" w:rsidRDefault="0040614A">
      <w:pPr>
        <w:rPr>
          <w:sz w:val="24"/>
        </w:rPr>
      </w:pPr>
      <w:r>
        <w:rPr>
          <w:sz w:val="24"/>
        </w:rPr>
        <w:tab/>
        <w:t>Государственной Думой были приняты в первом чтении законы “О внесении изменений и дополнений в Закон РСФСР” и “Об инвестиционной деятельности в РСФСР”, которые должны улучшить законодательную базу для инвестиций, гарантировать права инвесторов на собственность и которые  предполагают:</w:t>
      </w:r>
    </w:p>
    <w:p w:rsidR="0040614A" w:rsidRDefault="0040614A">
      <w:pPr>
        <w:rPr>
          <w:sz w:val="24"/>
        </w:rPr>
      </w:pPr>
      <w:r>
        <w:rPr>
          <w:sz w:val="24"/>
        </w:rPr>
        <w:t>- предоставление бюджетных средств негосударственным структурам на возвратной основе</w:t>
      </w:r>
      <w:r>
        <w:rPr>
          <w:sz w:val="24"/>
          <w:lang w:val="en-US"/>
        </w:rPr>
        <w:t>;</w:t>
      </w:r>
    </w:p>
    <w:p w:rsidR="0040614A" w:rsidRDefault="0040614A">
      <w:pPr>
        <w:rPr>
          <w:sz w:val="24"/>
        </w:rPr>
      </w:pPr>
      <w:r>
        <w:rPr>
          <w:sz w:val="24"/>
        </w:rPr>
        <w:t>- отражение в Законе принципа отношений собственности (в нём рассматриваются государственные, муниципальные и частные инвесторы). По этому принципу и выделяются из федерального бюджета капитальные вложения на развитие федеральной собственности</w:t>
      </w:r>
      <w:r>
        <w:rPr>
          <w:sz w:val="24"/>
          <w:lang w:val="en-US"/>
        </w:rPr>
        <w:t>;</w:t>
      </w:r>
    </w:p>
    <w:p w:rsidR="0040614A" w:rsidRDefault="0040614A">
      <w:pPr>
        <w:rPr>
          <w:sz w:val="24"/>
        </w:rPr>
      </w:pPr>
      <w:r>
        <w:rPr>
          <w:sz w:val="24"/>
        </w:rPr>
        <w:t>- равенство прав инвесторов (гарантии прав и защиты инвестиций независимо от форм собственности для всех инвесторов)</w:t>
      </w:r>
      <w:r>
        <w:rPr>
          <w:sz w:val="24"/>
          <w:lang w:val="en-US"/>
        </w:rPr>
        <w:t>.</w:t>
      </w:r>
    </w:p>
    <w:p w:rsidR="0040614A" w:rsidRDefault="0040614A">
      <w:pPr>
        <w:rPr>
          <w:sz w:val="24"/>
        </w:rPr>
      </w:pPr>
      <w:r>
        <w:rPr>
          <w:sz w:val="24"/>
        </w:rPr>
        <w:tab/>
        <w:t>Инвестиционной политики в нашем государстве до недавнего времени уделялось достаточно внимания, однако уже сейчас государство начало понимать всю важность правильной инвестиционной политики и, что самое важное, начало предпринимать шаги в нужном направлении, и последние два-три года наблюдаются некоторые сдвиги в изменении инвестиционной политики государства, постепенно ликвидируются структурные перекосы в экономике России, стабилизировался курс рубля, снижаются процентные ставки. Но государство понимает, что снижение инфляции и процентных ставок не дадут автоматического эффекта в виде роста инвестиций и производства. Это прежде всего связано с двумя факторами:</w:t>
      </w:r>
    </w:p>
    <w:p w:rsidR="0040614A" w:rsidRDefault="0040614A">
      <w:pPr>
        <w:rPr>
          <w:sz w:val="24"/>
        </w:rPr>
      </w:pPr>
      <w:r>
        <w:rPr>
          <w:sz w:val="24"/>
        </w:rPr>
        <w:t>1. С неготовностью получателей инвестиций - предприятий к эффективному освоению средств, в первую очередь из-за низкого качества управления;</w:t>
      </w:r>
    </w:p>
    <w:p w:rsidR="0040614A" w:rsidRDefault="0040614A">
      <w:pPr>
        <w:numPr>
          <w:ilvl w:val="0"/>
          <w:numId w:val="1"/>
        </w:numPr>
        <w:ind w:left="0" w:firstLine="0"/>
        <w:rPr>
          <w:sz w:val="24"/>
        </w:rPr>
      </w:pPr>
      <w:r>
        <w:rPr>
          <w:sz w:val="24"/>
        </w:rPr>
        <w:t>С  неготовностью инвесторов  вкладывать  капиталы в не реформированные предприятия по причине как высоких рисков (незащищённость прав собственности, значительный риск невозврата средств из-за плохого управления), так и невозможности более или менее адекватно определить сам уровень риска (непрозрачность финансового состояния предприятия, ликвидность предприятий,  их  инвестиционная деятельность).</w:t>
      </w:r>
    </w:p>
    <w:p w:rsidR="0040614A" w:rsidRDefault="0040614A">
      <w:pPr>
        <w:ind w:firstLine="720"/>
        <w:rPr>
          <w:sz w:val="24"/>
        </w:rPr>
      </w:pPr>
      <w:r>
        <w:rPr>
          <w:sz w:val="24"/>
        </w:rPr>
        <w:t>Поэтому правительство России предполагает ввести следующие изменения в инвестиционной политике нашей страны (из программы правительства РФ “Структурная перестройка и экономический рост в 1997-2000 годах”) :</w:t>
      </w:r>
    </w:p>
    <w:p w:rsidR="0040614A" w:rsidRDefault="0040614A">
      <w:pPr>
        <w:rPr>
          <w:sz w:val="24"/>
        </w:rPr>
      </w:pPr>
      <w:r>
        <w:rPr>
          <w:sz w:val="24"/>
        </w:rPr>
        <w:t>-создать условия для рыночной оценки активов предприятий. Кроме очевидных преимуществ для инвесторов, связанных с рыночной оценкой акций, это позволит предприятию формировать более рациональную стратегию в отношении использования собственных активов</w:t>
      </w:r>
      <w:r>
        <w:rPr>
          <w:sz w:val="24"/>
          <w:lang w:val="en-US"/>
        </w:rPr>
        <w:t>;</w:t>
      </w:r>
    </w:p>
    <w:p w:rsidR="0040614A" w:rsidRDefault="0040614A">
      <w:pPr>
        <w:rPr>
          <w:sz w:val="24"/>
        </w:rPr>
      </w:pPr>
      <w:r>
        <w:rPr>
          <w:sz w:val="24"/>
        </w:rPr>
        <w:t>-внести изменения в амортизационную политику, направленные на ее либерализацию, повышение степени свободы реформированных предприятий при выборе методов амортизационной политики (использование ускоренной амортизации, нелинейных методов  амортизации, в том числе метода уменьшающегося остатка с применением удвоенных амортизационных норм, метода суммы лет, специальной первоначальной амортизационной скидки), упрощение и укрупнение норм амортизации. Одновременно, по мере решения проблемы оборотных средств, будет осуществляться более жесткий контроль за целевым использованием амортизационных отчислений</w:t>
      </w:r>
      <w:r>
        <w:rPr>
          <w:sz w:val="24"/>
          <w:lang w:val="en-US"/>
        </w:rPr>
        <w:t>;</w:t>
      </w:r>
    </w:p>
    <w:p w:rsidR="0040614A" w:rsidRDefault="0040614A">
      <w:pPr>
        <w:rPr>
          <w:sz w:val="24"/>
        </w:rPr>
      </w:pPr>
      <w:r>
        <w:rPr>
          <w:sz w:val="24"/>
        </w:rPr>
        <w:t>- последовательная децентрализация инвестиционного процесса путём развития многообразных форм собственности, повышение роли внутренних (собственных) источников накоплений предприятий для финансирования их инвестиционных проектов;</w:t>
      </w:r>
    </w:p>
    <w:p w:rsidR="0040614A" w:rsidRDefault="0040614A">
      <w:pPr>
        <w:rPr>
          <w:sz w:val="24"/>
        </w:rPr>
      </w:pPr>
      <w:r>
        <w:rPr>
          <w:sz w:val="24"/>
        </w:rPr>
        <w:t>- государственная поддержка предприятий за счет централизованных инвестиций;</w:t>
      </w:r>
    </w:p>
    <w:p w:rsidR="0040614A" w:rsidRDefault="0040614A">
      <w:pPr>
        <w:rPr>
          <w:sz w:val="24"/>
        </w:rPr>
      </w:pPr>
      <w:r>
        <w:rPr>
          <w:sz w:val="24"/>
        </w:rPr>
        <w:t>- размещение ограниченных централизованных капитальных вложений и государственное финансирование инвестиционных проектов производственного назначения строго в соответствии с федеральными целевыми программами и исключительно на конкурсной основе;</w:t>
      </w:r>
    </w:p>
    <w:p w:rsidR="0040614A" w:rsidRDefault="0040614A">
      <w:pPr>
        <w:rPr>
          <w:sz w:val="24"/>
        </w:rPr>
      </w:pPr>
      <w:r>
        <w:rPr>
          <w:sz w:val="24"/>
        </w:rPr>
        <w:t>- усиление государственного контроля за целевым расходованием средств федерального бюджета;</w:t>
      </w:r>
    </w:p>
    <w:p w:rsidR="0040614A" w:rsidRDefault="0040614A">
      <w:pPr>
        <w:rPr>
          <w:sz w:val="24"/>
        </w:rPr>
      </w:pPr>
      <w:r>
        <w:rPr>
          <w:sz w:val="24"/>
        </w:rPr>
        <w:t>- совершенствование нормативной базы в целях привлечения иностранных инвестиций;</w:t>
      </w:r>
    </w:p>
    <w:p w:rsidR="0040614A" w:rsidRDefault="0040614A">
      <w:pPr>
        <w:rPr>
          <w:sz w:val="24"/>
        </w:rPr>
      </w:pPr>
      <w:r>
        <w:rPr>
          <w:sz w:val="24"/>
        </w:rPr>
        <w:t>- значительное расширение практики совместного  государственно-коммерческого финансирования инвестиционных проектов.</w:t>
      </w:r>
    </w:p>
    <w:p w:rsidR="0040614A" w:rsidRDefault="0040614A">
      <w:pPr>
        <w:rPr>
          <w:sz w:val="24"/>
          <w:lang w:val="en-US"/>
        </w:rPr>
      </w:pPr>
      <w:r>
        <w:rPr>
          <w:sz w:val="24"/>
        </w:rPr>
        <w:tab/>
        <w:t>Среди первоочередных мер необходимо назвать также и прямое государственное участие в инфраструктурных проектах народно-хозяйственного значения и их финансовое стимулирование посредством предоставления налоговых льгот или налогового кредита, вмешательство государства в инвестирование первичных отраслей и магистральной инфраструктуры.</w:t>
      </w:r>
    </w:p>
    <w:p w:rsidR="0040614A" w:rsidRDefault="0040614A">
      <w:pPr>
        <w:rPr>
          <w:sz w:val="24"/>
          <w:lang w:val="en-US"/>
        </w:rPr>
      </w:pPr>
    </w:p>
    <w:p w:rsidR="0040614A" w:rsidRDefault="0040614A">
      <w:pPr>
        <w:jc w:val="both"/>
        <w:rPr>
          <w:rFonts w:ascii="Courier New" w:hAnsi="Courier New"/>
          <w:sz w:val="28"/>
        </w:rPr>
      </w:pPr>
    </w:p>
    <w:p w:rsidR="0040614A" w:rsidRDefault="0040614A">
      <w:pPr>
        <w:jc w:val="both"/>
        <w:rPr>
          <w:rFonts w:ascii="Courier New" w:hAnsi="Courier New"/>
          <w:sz w:val="28"/>
        </w:rPr>
      </w:pPr>
    </w:p>
    <w:p w:rsidR="0040614A" w:rsidRDefault="0040614A">
      <w:pPr>
        <w:rPr>
          <w:sz w:val="24"/>
        </w:rPr>
      </w:pPr>
      <w:r>
        <w:rPr>
          <w:sz w:val="24"/>
          <w:lang w:val="en-US"/>
        </w:rPr>
        <w:t>1.1.</w:t>
      </w:r>
      <w:r>
        <w:rPr>
          <w:sz w:val="24"/>
        </w:rPr>
        <w:t xml:space="preserve"> Внутренние источники инвестиций в России.</w:t>
      </w:r>
    </w:p>
    <w:p w:rsidR="0040614A" w:rsidRDefault="0040614A">
      <w:pPr>
        <w:ind w:firstLine="720"/>
        <w:rPr>
          <w:sz w:val="24"/>
        </w:rPr>
      </w:pPr>
    </w:p>
    <w:p w:rsidR="0040614A" w:rsidRDefault="0040614A">
      <w:pPr>
        <w:ind w:firstLine="720"/>
        <w:rPr>
          <w:sz w:val="24"/>
        </w:rPr>
      </w:pPr>
      <w:r>
        <w:rPr>
          <w:sz w:val="24"/>
        </w:rPr>
        <w:t>Традиционно в России финансирование капитальных  вложений осуществлялось в основном за счет внутренних источников. Можно предположить, что  и  в  дальнейшем  они  будут играть решающую роль, несмотря на активизацию привлечения  иностранного капитала. Каждой семье приходится постоянно решать житейскую проблему: какую часть своего бюджета направить на текущее потребление, а какую - отложить  на  будущее.  Предположим,  что  члены семьи зарабатывают 1 млн. руб. в месяц. Часть этих денег можно израсходовать на покупку продуктов питания и одежду и на оплату жилья и коммунальных услуг,  а часть можно отложить.  Допустим, что семья тратит 800 тыс. руб.  в течение месяца, а оставшиеся 200 тыс. помещает в банк или меняет на американские доллары для инвестирования будущих расходов (159.8 трлн. рублей (20.8% всех денежных доходов) было затрачено жителями России в первом полугодии 1997 г. на покупку иностранной валюты...).  В этом случае говорят, что уровень сбережений семьи составляет 20%.</w:t>
      </w:r>
    </w:p>
    <w:p w:rsidR="0040614A" w:rsidRDefault="0040614A">
      <w:pPr>
        <w:ind w:firstLine="720"/>
        <w:rPr>
          <w:sz w:val="24"/>
        </w:rPr>
      </w:pPr>
      <w:r>
        <w:rPr>
          <w:sz w:val="24"/>
        </w:rPr>
        <w:t>В масштабе страны общий уровень сбережений зависит от уровня сбережений населения, организаций и правительства. Средства отдельных граждан - не единственный источник сбережений на  будущее. Предположим, что некая компания получила прибыль в размере 100 млн. руб. Эта прибыль может быть выплачена владельцам, реинвестирована (компания может приобрести на эти средства новое оборудование или производственные площади) или же  положена  на банковский счет. В любом случае компания сберегает часть своей прибыли, точно так же как семья сберегает часть своего заработка. Правительство тоже может делать сбережения - в тех случаях, когда налоговые поступления в бюджет превышают правительственное потребление (куда входит зарплата государственных служащих, расходы на оборону, выплаты пенсионерам и т.п.). При таком положении дел  у  правительства остаются средства, которые могут быть использованы под инвестиции, скажем, в строительство новых дорог или развитие телефонной связи.</w:t>
      </w:r>
    </w:p>
    <w:p w:rsidR="0040614A" w:rsidRDefault="0040614A">
      <w:pPr>
        <w:ind w:firstLine="720"/>
        <w:rPr>
          <w:sz w:val="24"/>
        </w:rPr>
      </w:pPr>
      <w:r>
        <w:rPr>
          <w:sz w:val="24"/>
        </w:rPr>
        <w:t>Объем сбережений в стране непосредственно влияет на  объем инвестиций в стране. Уже было отмечено, что инвестиции представляют собой расходы на приобретение оборудования,  зданий и жилья, которые в будущем выразятся в подъеме производительной мощи всей экономики. Когда общество сберегает часть своего текущего дохода,  это означает, что часть производства может быть направлена не на потребление, а на инвестиции.</w:t>
      </w:r>
    </w:p>
    <w:p w:rsidR="0040614A" w:rsidRDefault="0040614A">
      <w:pPr>
        <w:ind w:firstLine="720"/>
        <w:rPr>
          <w:sz w:val="24"/>
        </w:rPr>
      </w:pPr>
      <w:r>
        <w:rPr>
          <w:sz w:val="24"/>
        </w:rPr>
        <w:t>Чаще всего сберегатели (вкладчики) и инвесторы принадлежат к разным экономическим группам. Когда семья откладывает часть своего дохода, она помещает свои деньги в банк. Банк одалживает эти деньги компании, желающей осуществить капиталовложения.  В этом случае  вкладчики (отдельные граждане)  и  инвесторы  (предприятия) связаны через финансового  посредника  (банк).  Иногда вкладчики и инвесторы представляют  собой  одно и  то же  лицо. Если  предприятие  сберегает часть своей прибыли и использует ее на покупку нового станка, оно одновременно и сберегает и инвестирует деньги. Иногда компания сберегает свою  прибыль за счет увеличения банковских вкладов. Банк затем одалживает эти деньги другой компании, желающей сделать капиталовложения. В закрытой экономике объем сбережений точно соответствует объему инвестиций. Какая часть национального дохода сберегается,  такая часть и может быть инвестирована. Таким образом, можно сказать, что в закрытой стране внутренние инвестиции равны внутренним сбережениям.</w:t>
      </w:r>
    </w:p>
    <w:p w:rsidR="0040614A" w:rsidRDefault="0040614A">
      <w:pPr>
        <w:ind w:firstLine="720"/>
        <w:rPr>
          <w:sz w:val="24"/>
        </w:rPr>
      </w:pPr>
      <w:r>
        <w:rPr>
          <w:sz w:val="24"/>
        </w:rPr>
        <w:t>Когда страна входит в мировую финансовую систему, складывается не столь однозначная ситуация. Если некая российская компания желает сделать капиталовложение, она может занять необходимые средства как в российском, так и в зарубежном банке. Рассмотрим какие же существуют внутренние источники инвестиций.</w:t>
      </w:r>
    </w:p>
    <w:p w:rsidR="0040614A" w:rsidRDefault="0040614A">
      <w:pPr>
        <w:rPr>
          <w:sz w:val="24"/>
        </w:rPr>
      </w:pPr>
    </w:p>
    <w:p w:rsidR="0040614A" w:rsidRDefault="0040614A">
      <w:pPr>
        <w:pStyle w:val="3"/>
      </w:pPr>
      <w:r>
        <w:t xml:space="preserve"> Прибыль как источник инвестиций</w:t>
      </w:r>
    </w:p>
    <w:p w:rsidR="0040614A" w:rsidRDefault="0040614A">
      <w:pPr>
        <w:rPr>
          <w:sz w:val="24"/>
        </w:rPr>
      </w:pPr>
    </w:p>
    <w:p w:rsidR="0040614A" w:rsidRDefault="0040614A">
      <w:pPr>
        <w:ind w:firstLine="720"/>
        <w:rPr>
          <w:sz w:val="24"/>
        </w:rPr>
      </w:pPr>
      <w:r>
        <w:rPr>
          <w:sz w:val="24"/>
        </w:rPr>
        <w:t>Недостаток финансовых ресурсов предприятия пытаются восполнить за  счет повышения цен на свою продукцию. В 1993 году все увеличение прибыли в народном  хозяйстве  определялось  ценовым фактором. Однако, увеличивая цены, предприятия сталкиваются со спросовыми ограничениями, приводящими к проблемам с реализацией продукции, и, как следствие, к спаду производства. Это может поставить на грань банкротства многие предприятия.  Например в сложном положении оказался Волжский автомобильный завод. Чтобы обеспечить необходимые средства для  инвестиций, он постоянно поднимал цены на автомашины  "Жигули", в результате чего они стали дороже многих более качественных иностранных моделей. Поэтому сбыт продукции ВАЗа стал проблематичным.</w:t>
      </w:r>
    </w:p>
    <w:p w:rsidR="0040614A" w:rsidRDefault="0040614A">
      <w:pPr>
        <w:ind w:firstLine="720"/>
        <w:rPr>
          <w:sz w:val="24"/>
        </w:rPr>
      </w:pPr>
      <w:r>
        <w:rPr>
          <w:sz w:val="24"/>
        </w:rPr>
        <w:t>Правительством принимаются меры, которые облегчат предприятиям формирование необходимых финансовых ресурсов для производственного развития, тем более что сегодня они являются одним из основных источников капиталовложений в экономику. Расширить возможности предприятий поможет решение о полном освобождении от налога прибыли, направляемой на инвестиции, которое действует с 1 января 1993 года. Это должно послужить хорошим стимулом к усилению инвестиционной активности.</w:t>
      </w:r>
    </w:p>
    <w:p w:rsidR="0040614A" w:rsidRDefault="0040614A">
      <w:pPr>
        <w:rPr>
          <w:sz w:val="24"/>
        </w:rPr>
      </w:pPr>
    </w:p>
    <w:p w:rsidR="0040614A" w:rsidRDefault="0040614A">
      <w:pPr>
        <w:rPr>
          <w:i/>
          <w:sz w:val="24"/>
          <w:lang w:val="en-US"/>
        </w:rPr>
      </w:pPr>
      <w:r>
        <w:rPr>
          <w:i/>
          <w:sz w:val="24"/>
        </w:rPr>
        <w:t>Амортизационные отчисления.</w:t>
      </w:r>
    </w:p>
    <w:p w:rsidR="0040614A" w:rsidRDefault="0040614A">
      <w:pPr>
        <w:rPr>
          <w:sz w:val="24"/>
          <w:lang w:val="en-US"/>
        </w:rPr>
      </w:pPr>
    </w:p>
    <w:p w:rsidR="0040614A" w:rsidRDefault="0040614A">
      <w:pPr>
        <w:ind w:firstLine="720"/>
        <w:rPr>
          <w:sz w:val="24"/>
        </w:rPr>
      </w:pPr>
      <w:r>
        <w:rPr>
          <w:sz w:val="24"/>
        </w:rPr>
        <w:t>Амортизационные отчисления - это капитальная стоимость, отделившаяся от своего материального носителя (зданий, сооружений, оборудования, аппаратуры и т.д.) изначально являющуюся капиталом уже находящимся в кругообороте и обороте предприятия. Амортизационные отчисления направлены на восстановление средств производства, которые изнашиваются в процессе использования при производстве товаров. Однако в данный момент в России амортизационные отчисления теряются из-за инфляции (инфляция практически девальвировала этот источник капиталовложений), поэтому для самоинвестирования предприятия используют средства, необходимые для выплаты долгов по зарплате, налогов и прочего, что отражается на социальной сфере. Рост стоимости основных фондов предприятий и их амортизационных отчислений пропорционально темпам инфляции позволяет увеличить источники собственных средств для финансирования капиталовложений. Поэтому одной из важных мер по повышению внутренней инвестиционной активности могла бы стать антиинфляционная защита амортизационного фонда путем регулярной индексации балансовой стоимости основных средств. Чтобы восстановить инвестиционный характер амортизационного фонда необходимо провести реформу амортизационной политики и системы кругооборота и оборота амортизационного фонда: однозначно признать капитальный характер амортизационных отчислений</w:t>
      </w:r>
      <w:r>
        <w:rPr>
          <w:sz w:val="24"/>
          <w:lang w:val="en-US"/>
        </w:rPr>
        <w:t xml:space="preserve">; </w:t>
      </w:r>
      <w:r>
        <w:rPr>
          <w:sz w:val="24"/>
        </w:rPr>
        <w:t>распространить на амортизационный фонд законодательство о собственности и гарантировать права собственников капитала на определение судьбы амортизационного фонда</w:t>
      </w:r>
      <w:r>
        <w:rPr>
          <w:sz w:val="24"/>
          <w:lang w:val="en-US"/>
        </w:rPr>
        <w:t xml:space="preserve">; </w:t>
      </w:r>
      <w:r>
        <w:rPr>
          <w:sz w:val="24"/>
        </w:rPr>
        <w:t>усилить ответственность производства (менеджеров) предприятий за его сохранность и целевое использование</w:t>
      </w:r>
      <w:r>
        <w:rPr>
          <w:sz w:val="24"/>
          <w:lang w:val="en-US"/>
        </w:rPr>
        <w:t xml:space="preserve">; </w:t>
      </w:r>
      <w:r>
        <w:rPr>
          <w:sz w:val="24"/>
        </w:rPr>
        <w:t>ввести налоговые и административные санкции против разбазаривания, проедания и вывоза амортизационного фонда за пределы российской национальной территории (пресечь вывоз капитала за счёт амортизационных отчислений). Эти меры помогут сохранению амортизационного фонда предприятия и, как следствие, помогут держаться производству на прежнем уровне.</w:t>
      </w:r>
    </w:p>
    <w:p w:rsidR="0040614A" w:rsidRDefault="0040614A">
      <w:pPr>
        <w:rPr>
          <w:sz w:val="24"/>
        </w:rPr>
      </w:pPr>
    </w:p>
    <w:p w:rsidR="0040614A" w:rsidRDefault="0040614A">
      <w:pPr>
        <w:rPr>
          <w:i/>
          <w:sz w:val="24"/>
        </w:rPr>
      </w:pPr>
      <w:r>
        <w:rPr>
          <w:i/>
          <w:sz w:val="24"/>
        </w:rPr>
        <w:t>Бюджетное финансирование.</w:t>
      </w:r>
    </w:p>
    <w:p w:rsidR="0040614A" w:rsidRDefault="0040614A">
      <w:pPr>
        <w:rPr>
          <w:sz w:val="24"/>
        </w:rPr>
      </w:pPr>
    </w:p>
    <w:p w:rsidR="0040614A" w:rsidRDefault="0040614A">
      <w:pPr>
        <w:ind w:firstLine="720"/>
        <w:rPr>
          <w:sz w:val="24"/>
        </w:rPr>
      </w:pPr>
      <w:r>
        <w:rPr>
          <w:sz w:val="24"/>
        </w:rPr>
        <w:t>Дефицит государственного бюджета не позволяет рассчитывать на решение инвестиционных проблем за счет централизованных источников финансирования. При ограниченности бюджетных ресурсов как потенциального источника инвестиций государство будет вынуждено перейти от безвозвратного бюджетного финансирования к кредитованию. Уже сейчас ужесточился контроль за целевым использованием льготных кредитов. Для обеспечения гарантий возврата кредита внедряется система залога имущества в недвижимости, в частности земли. Законодательная база этому создана Законом о залоге. Государственные централизованные вложения обычно направляют на реализацию ограниченного числа региональных программ, создание особо эффективных структурообразующих объектов, поддержание федеральной инфраструктуры, преодоление последствий стихийных бедствий, чрезвычайных ситуаций, решение наиболее острых социальных и экономических проблем. На этапе выхода из кризиса приоритетными направлениями с точки зрения бюджетного финансирования будут:</w:t>
      </w:r>
    </w:p>
    <w:p w:rsidR="0040614A" w:rsidRDefault="0040614A">
      <w:pPr>
        <w:rPr>
          <w:sz w:val="24"/>
        </w:rPr>
      </w:pPr>
      <w:r>
        <w:rPr>
          <w:sz w:val="24"/>
        </w:rPr>
        <w:t>- выделение государственных инвестиций для стимулирования развития опорных сырьевых и аграрных районов, обеспечивающих решение продовольственной и топливно-энергетической проблем;</w:t>
      </w:r>
    </w:p>
    <w:p w:rsidR="0040614A" w:rsidRDefault="0040614A">
      <w:pPr>
        <w:rPr>
          <w:sz w:val="24"/>
        </w:rPr>
      </w:pPr>
      <w:r>
        <w:rPr>
          <w:sz w:val="24"/>
        </w:rPr>
        <w:t>- поддержание научно-производственного потенциала;</w:t>
      </w:r>
    </w:p>
    <w:p w:rsidR="0040614A" w:rsidRDefault="0040614A">
      <w:pPr>
        <w:rPr>
          <w:sz w:val="24"/>
        </w:rPr>
      </w:pPr>
      <w:r>
        <w:rPr>
          <w:sz w:val="24"/>
        </w:rPr>
        <w:t>- выделение субсидий на социальные цели слаборазвитым районом с чрезмерно низким уровнем жизни населения, не имеющим возможности приостановить его падение собственными силами.</w:t>
      </w:r>
    </w:p>
    <w:p w:rsidR="0040614A" w:rsidRDefault="0040614A">
      <w:pPr>
        <w:rPr>
          <w:sz w:val="24"/>
        </w:rPr>
      </w:pPr>
    </w:p>
    <w:p w:rsidR="0040614A" w:rsidRDefault="0040614A">
      <w:pPr>
        <w:rPr>
          <w:sz w:val="24"/>
        </w:rPr>
      </w:pPr>
    </w:p>
    <w:p w:rsidR="0040614A" w:rsidRDefault="0040614A">
      <w:pPr>
        <w:rPr>
          <w:sz w:val="24"/>
        </w:rPr>
      </w:pPr>
    </w:p>
    <w:p w:rsidR="0040614A" w:rsidRDefault="0040614A">
      <w:pPr>
        <w:pStyle w:val="3"/>
      </w:pPr>
      <w:r>
        <w:t>Банковский кредит</w:t>
      </w:r>
    </w:p>
    <w:p w:rsidR="0040614A" w:rsidRDefault="0040614A">
      <w:pPr>
        <w:rPr>
          <w:sz w:val="24"/>
        </w:rPr>
      </w:pPr>
    </w:p>
    <w:p w:rsidR="0040614A" w:rsidRDefault="0040614A">
      <w:pPr>
        <w:ind w:firstLine="720"/>
        <w:rPr>
          <w:sz w:val="24"/>
        </w:rPr>
      </w:pPr>
      <w:r>
        <w:rPr>
          <w:sz w:val="24"/>
        </w:rPr>
        <w:t>Долгосрочное кредитование, особенно в условиях зарождающегося предпринимательства, могло бы стать одним из важных источников инвестиций. Нет необходимости говорить о важности долгосрочных кредитов для развития производства в России, которое находится в катастрофическом состоянии. Долгосрочные банковские кредиты в первую очередь направлены на решение стратегических целей в экономике. Они способствуют постепенному увеличению производства и, как следствие, общему подъему экономики страны. Такие кредиты могли бы выдаваться банками в первую очередь на решение социальных программ под гарантии правительства, однако долгосрочные банковские кредиты невыгодны в условиях инфляции, которая составила в декабре 1996 года (по отношению к декабрю 1995 года) 22%. При такой инфляции невыгодны даже среднесрочные кредиты. На сентябрь 1996 года из общей массы кредитов (314 трлн. руб.), выданных российскими банками, только 19.6 трлн. руб. или 6,3% составляли долгосрочные. Назрела потребность создания инвестиционных банков, которые занимались бы финансированием и долгосрочным кредитованием капитальных вложений. А пока правительство вынуждено финансировать необходимые программы из средств бюджета, а их в бюджете катастрофически не хватает.</w:t>
      </w:r>
    </w:p>
    <w:p w:rsidR="0040614A" w:rsidRDefault="0040614A">
      <w:pPr>
        <w:rPr>
          <w:sz w:val="24"/>
        </w:rPr>
      </w:pPr>
    </w:p>
    <w:p w:rsidR="0040614A" w:rsidRDefault="0040614A">
      <w:pPr>
        <w:rPr>
          <w:i/>
          <w:sz w:val="24"/>
        </w:rPr>
      </w:pPr>
      <w:r>
        <w:rPr>
          <w:i/>
          <w:sz w:val="24"/>
        </w:rPr>
        <w:t>Средства населения.</w:t>
      </w:r>
    </w:p>
    <w:p w:rsidR="0040614A" w:rsidRDefault="0040614A">
      <w:pPr>
        <w:rPr>
          <w:sz w:val="24"/>
        </w:rPr>
      </w:pPr>
    </w:p>
    <w:p w:rsidR="0040614A" w:rsidRDefault="0040614A">
      <w:pPr>
        <w:ind w:firstLine="720"/>
        <w:rPr>
          <w:sz w:val="24"/>
        </w:rPr>
      </w:pPr>
      <w:r>
        <w:rPr>
          <w:sz w:val="24"/>
        </w:rPr>
        <w:t>Привлечение средств населения в инвестиционную сферу путём продажи акций приватизированных предприятий и инвестиционных фондов, в частности, могло бы рассматриваться не только как источник капиталовложений, но и как один из путей защиты личных сбережений граждан от инфляции. Стимулировать инвестиционную активность населения можно  путем  установления в инвестиционных банках более высоких по сравнению с другими банковскими учреждениями процентных ставок по личным вкладам, привлечение средств населения  на жилищное строительство, предоставление гражданам, участвующим в инвестировании предприятия, первоочередного права на приобретение его продукции по заводской цене и т.п. Для притока сбережений населения на рынок капитала необходима широкая сеть посреднических финансовых организаций - инвестиционных банков и фондов,  страховых компаний,  пенсионных фондов, строительных обществ и др. Однако важно по возможности обеспечить защиту тем,  кто готов вкладывать свои деньги в фондовые ценности, установив строгий государственный контроль за предприятиями,  претендующими  на привлечение  средств  населения.</w:t>
      </w:r>
    </w:p>
    <w:p w:rsidR="0040614A" w:rsidRDefault="0040614A">
      <w:pPr>
        <w:ind w:firstLine="720"/>
        <w:rPr>
          <w:sz w:val="24"/>
        </w:rPr>
      </w:pPr>
      <w:r>
        <w:rPr>
          <w:sz w:val="24"/>
        </w:rPr>
        <w:t>Основным фактором, влияющим на состояние внутренних возможностей финансирования капиталовложений, является финансовоэкономическая нестабильность. Тем не менее недостаточность внутреннего инвестиционного потенциала можно считать относительной.</w:t>
      </w:r>
    </w:p>
    <w:p w:rsidR="0040614A" w:rsidRDefault="0040614A">
      <w:pPr>
        <w:rPr>
          <w:sz w:val="24"/>
          <w:lang w:val="en-US"/>
        </w:rPr>
      </w:pPr>
    </w:p>
    <w:p w:rsidR="0040614A" w:rsidRDefault="0040614A">
      <w:pPr>
        <w:rPr>
          <w:sz w:val="24"/>
          <w:lang w:val="en-US"/>
        </w:rPr>
      </w:pPr>
    </w:p>
    <w:p w:rsidR="0040614A" w:rsidRDefault="0040614A">
      <w:pPr>
        <w:rPr>
          <w:sz w:val="24"/>
          <w:lang w:val="en-US"/>
        </w:rPr>
      </w:pPr>
    </w:p>
    <w:p w:rsidR="0040614A" w:rsidRDefault="0040614A">
      <w:pPr>
        <w:rPr>
          <w:sz w:val="24"/>
        </w:rPr>
      </w:pPr>
      <w:r>
        <w:rPr>
          <w:sz w:val="24"/>
        </w:rPr>
        <w:t>1.2. Внешние источники инвестиций.</w:t>
      </w:r>
    </w:p>
    <w:p w:rsidR="0040614A" w:rsidRDefault="0040614A">
      <w:pPr>
        <w:rPr>
          <w:sz w:val="24"/>
        </w:rPr>
      </w:pPr>
    </w:p>
    <w:p w:rsidR="0040614A" w:rsidRDefault="0040614A">
      <w:pPr>
        <w:rPr>
          <w:i/>
          <w:sz w:val="24"/>
        </w:rPr>
      </w:pPr>
      <w:r>
        <w:rPr>
          <w:i/>
          <w:sz w:val="24"/>
        </w:rPr>
        <w:t>Иностранные инвестиции в России.</w:t>
      </w:r>
    </w:p>
    <w:p w:rsidR="0040614A" w:rsidRDefault="0040614A">
      <w:pPr>
        <w:rPr>
          <w:sz w:val="24"/>
        </w:rPr>
      </w:pPr>
    </w:p>
    <w:p w:rsidR="0040614A" w:rsidRDefault="0040614A">
      <w:pPr>
        <w:ind w:firstLine="720"/>
        <w:rPr>
          <w:sz w:val="24"/>
        </w:rPr>
      </w:pPr>
      <w:r>
        <w:rPr>
          <w:sz w:val="24"/>
        </w:rPr>
        <w:t>В Российской Федерации инвестиции могут осуществляться  путем</w:t>
      </w:r>
      <w:r>
        <w:rPr>
          <w:sz w:val="24"/>
          <w:lang w:val="en-US"/>
        </w:rPr>
        <w:t xml:space="preserve"> </w:t>
      </w:r>
      <w:r>
        <w:rPr>
          <w:sz w:val="24"/>
        </w:rPr>
        <w:t>создания предприятий с долевым участием иностранного капитала (совместных предприятий);</w:t>
      </w:r>
    </w:p>
    <w:p w:rsidR="0040614A" w:rsidRDefault="0040614A">
      <w:pPr>
        <w:rPr>
          <w:sz w:val="24"/>
        </w:rPr>
      </w:pPr>
      <w:r>
        <w:rPr>
          <w:sz w:val="24"/>
        </w:rPr>
        <w:t>- создания предприятий, полностью принадлежащих иностранным инвесторам, их филиалов и представительств;</w:t>
      </w:r>
    </w:p>
    <w:p w:rsidR="0040614A" w:rsidRDefault="0040614A">
      <w:pPr>
        <w:rPr>
          <w:sz w:val="24"/>
        </w:rPr>
      </w:pPr>
      <w:r>
        <w:rPr>
          <w:sz w:val="24"/>
        </w:rPr>
        <w:t>- приобретения иностранным инвестором в собственность пред-приятий, имущественных комплексов,  зданий, сооружений, долей участий в предприятиях,  акций, облигаций и других ценных бумаг;</w:t>
      </w:r>
    </w:p>
    <w:p w:rsidR="0040614A" w:rsidRDefault="0040614A">
      <w:pPr>
        <w:rPr>
          <w:sz w:val="24"/>
        </w:rPr>
      </w:pPr>
      <w:r>
        <w:rPr>
          <w:sz w:val="24"/>
        </w:rPr>
        <w:t>- приобретение прав пользования землей и иными природными ресурсами, а также иных имущественных прав и т.р.;</w:t>
      </w:r>
    </w:p>
    <w:p w:rsidR="0040614A" w:rsidRDefault="0040614A">
      <w:pPr>
        <w:rPr>
          <w:sz w:val="24"/>
        </w:rPr>
      </w:pPr>
      <w:r>
        <w:rPr>
          <w:sz w:val="24"/>
        </w:rPr>
        <w:t>- предоставления займов,  кредитов, имущества и имущественных прав и т.п.</w:t>
      </w:r>
    </w:p>
    <w:p w:rsidR="0040614A" w:rsidRDefault="0040614A">
      <w:pPr>
        <w:ind w:firstLine="720"/>
        <w:rPr>
          <w:sz w:val="24"/>
        </w:rPr>
      </w:pPr>
      <w:r>
        <w:rPr>
          <w:sz w:val="24"/>
        </w:rPr>
        <w:t>Проблема состоит  в стимулировании эффективного притока иностранного капитала. В этой связи встает два вопроса: во-первых, в какие сферы приток должен быть ограничен, а во-вторых, в какие отрасли и в каких формах следует в первую очередь его привлекать. Иностранный капитал может  привлекаться  в  форме частных зарубежных инвестиций - прямых и портфельных, а также в форме кредитов и займов. Под прямыми инвестициями принято понимать капитальные вложения в реальные активы (производство) в других странах, в управлении которыми участвует инвестор. Инвестиции могут считаться прямыми, если  иностранный инвестор владеет не менее чем 25% акций предприятия, или их контрольным пакетом, величина которого может варьироваться в достаточно широких пределах в зависимости от распределения акций среди акционеров.</w:t>
      </w:r>
    </w:p>
    <w:p w:rsidR="0040614A" w:rsidRDefault="0040614A">
      <w:pPr>
        <w:ind w:firstLine="720"/>
        <w:rPr>
          <w:sz w:val="24"/>
        </w:rPr>
      </w:pPr>
      <w:r>
        <w:rPr>
          <w:sz w:val="24"/>
        </w:rPr>
        <w:t>Прямые зарубежный инвестиции - это нечто большее, чем простое финансирование капиталовложений в экономику, хотя само по себе это крайне необходимо России. Прямые зарубежные инвестиции представляют также способ повышения производительности и технического уровня российских предприятий.  Размещая свой капитал в России, иностранная компания приносит с собой новые технологии, новые способы организации производства и прямой выход на  мировой рынок.</w:t>
      </w:r>
    </w:p>
    <w:p w:rsidR="0040614A" w:rsidRDefault="0040614A">
      <w:pPr>
        <w:ind w:firstLine="720"/>
        <w:rPr>
          <w:sz w:val="24"/>
        </w:rPr>
      </w:pPr>
      <w:r>
        <w:rPr>
          <w:sz w:val="24"/>
        </w:rPr>
        <w:t>Портфельными инвестициями . принято называть капиталовложения в акции зарубежных предприятий, которые не дают права контроля над ними, в облигации и другие ценные бумаги иностранного государства и международных валютно-финансовых организаций.</w:t>
      </w:r>
    </w:p>
    <w:p w:rsidR="0040614A" w:rsidRDefault="0040614A">
      <w:pPr>
        <w:ind w:firstLine="720"/>
        <w:rPr>
          <w:sz w:val="24"/>
        </w:rPr>
      </w:pPr>
      <w:r>
        <w:rPr>
          <w:sz w:val="24"/>
        </w:rPr>
        <w:t>Существуют и реальные инвестиции. Это - капитальные вложения в землю, недвижимость, машины и оборудование, запасные части и т.д. Реальные инвестиции включают в себя и затраты оборотного капитала.</w:t>
      </w:r>
    </w:p>
    <w:p w:rsidR="0040614A" w:rsidRDefault="0040614A">
      <w:pPr>
        <w:ind w:firstLine="720"/>
        <w:rPr>
          <w:sz w:val="24"/>
        </w:rPr>
      </w:pPr>
      <w:r>
        <w:rPr>
          <w:sz w:val="24"/>
        </w:rPr>
        <w:t>Два вида инвестиций (прямые и портфельные) движимы  аналогичными, но не одинаковыми  мотивами. В  обоих  случаях  инвестор желает получить прибыль за счет владения акциями доходной компании. Однако, при осуществлении портфельных инвестиций инвестор заинтересован не в том,  чтобы руководить  компанией, а в том, чтобы получать доход за счет будущих дивидендов. Предпринимая прямые капиталовложения, иностранный инвестор (как правило, крупная  компания)  стремится взять в свои руки руководство предприятием. Вкладывая капитал, он считает, что Россия - самое подходящее место для выпуска его продукции,  которая будет реализовываться либо на российском потребительском  рынке  (пример ресторанов Макдональдс),  либо на мировом рынке (как в случае с некоторыми зарубежными инвестициями в российскую авиационно-космическую промышленность). России необходимо прилагать все усилия к привлечению обоих видов инвестиций, ибо каждая из них способствует будущему увеличению производительной мощи экономики.</w:t>
      </w:r>
    </w:p>
    <w:p w:rsidR="0040614A" w:rsidRDefault="0040614A">
      <w:pPr>
        <w:ind w:firstLine="720"/>
        <w:rPr>
          <w:sz w:val="24"/>
        </w:rPr>
      </w:pPr>
      <w:r>
        <w:rPr>
          <w:sz w:val="24"/>
        </w:rPr>
        <w:t>Иностранный капитал может иметь доступ во все сферы экономики (за исключением тех которые находятся в государственной монополии) без ущерба для национальных интересов. Отраслевые ограничения должны распространяться только на прямые иностранные  инвестиции. Их приток следует ограничить в отрасли, связанные с непосредственной эксплуатацией национальных природных ресурсов (например, добывающие отрасли, вырубка леса, промысел рыбы), в производственную инфраструктуру (энергосети, дороги, трубопроводы и т.п.), телекоммуникационную и спутниковую связь. Подобные ограничения закреплены в законодательствах многих развитых стран, в частности США. В перечисленных отраслях целесообразно использовать альтернативные  прямым  инвестициям  формы привлечения иностранного капитала. Это могут быть зарубежные кредиты и займы. Несмотря на то, что они увеличивают бремя государственного долга, привлечение их было бы оправданным во-первых с точки зрения соблюдения национальных интересов и во-вторых - быстрая окупаемость капиталовложений в названные сферы.</w:t>
      </w:r>
    </w:p>
    <w:p w:rsidR="0040614A" w:rsidRDefault="0040614A">
      <w:pPr>
        <w:ind w:firstLine="720"/>
        <w:rPr>
          <w:sz w:val="24"/>
        </w:rPr>
      </w:pPr>
      <w:r>
        <w:rPr>
          <w:sz w:val="24"/>
        </w:rPr>
        <w:t>Однако для этого необходимо создать эффективную систему управления использованием зарубежных иностранных кредитов. Зарубежный капитал в форме предприятий со 100-процентным иностранным участием целесообразно привлекать в производство и переработку сельскохозяйственной продукции, производство строительных  материалов, строительство (в том числе жилищное), для выпуска товаров  народного потребления,  в развитие деловой инфраструктуры, стимулировать приток портфельных инвестиций следует во все отрасли экономики. Они обеспечивают приток финансовых ресурсов без потери контроля российской стороны над объектом инвестирования. Это преимущество важно использовать в отраслях, имеющих стратегическое значение для страны,  и в первую очередь связанных с добычей ресурсов.</w:t>
      </w:r>
    </w:p>
    <w:p w:rsidR="0040614A" w:rsidRDefault="0040614A">
      <w:pPr>
        <w:rPr>
          <w:sz w:val="24"/>
        </w:rPr>
      </w:pPr>
    </w:p>
    <w:p w:rsidR="0040614A" w:rsidRDefault="0040614A">
      <w:pPr>
        <w:rPr>
          <w:i/>
          <w:sz w:val="24"/>
        </w:rPr>
      </w:pPr>
      <w:r>
        <w:rPr>
          <w:i/>
          <w:sz w:val="24"/>
        </w:rPr>
        <w:t>Отток капитала.</w:t>
      </w:r>
    </w:p>
    <w:p w:rsidR="0040614A" w:rsidRDefault="0040614A">
      <w:pPr>
        <w:rPr>
          <w:sz w:val="24"/>
        </w:rPr>
      </w:pPr>
    </w:p>
    <w:p w:rsidR="0040614A" w:rsidRDefault="0040614A">
      <w:pPr>
        <w:ind w:firstLine="720"/>
        <w:rPr>
          <w:sz w:val="24"/>
        </w:rPr>
      </w:pPr>
      <w:r>
        <w:rPr>
          <w:sz w:val="24"/>
        </w:rPr>
        <w:t>Рассмотрев в первую очередь инвестиции, приходящие из-за рубежа, мы можем сказать и о том, какие средства уходят нелегально за рубеж. За последние  годы  в  России  сложился  слой предприятий и предпринимателей, накопивших крупные капиталы. Из-за неустойчивости экономического положения в стране большие средства переводятся в конвертируемую валюту и оседают в западных банках. Можно было бы ожидать, что с окончанием коммунистической эры Россия станет обращаться к зарубежным кредиторам для финансирования крупных инвестиций по мере того, как страна перестраивается под действием рыночных сил. На этом основании было бы резонно предположить, что в России  возникнет дефицит текущего платежного баланса (когда уровень инвестиций превышает уровень сбережений). Однако этого не происходит. Отток денежных ресурсов (потенциальных инвестиций) из России в несколько раз превышает их приток. Как не парадоксально, но в течение 1993 года Россия выдала больше кредитов зарубежным заемщикам, чем заняла сама. Активное  сальдо текущего платежного баланса России (когда страна является неттоэкспортером капитала,  т.е. граждане ссужают больше денег, чем занимают) составило порядка 10 млрд. долларов. Это усиливает инвестиционный "голод" в стране, ведет к дальнейшему ослаблению национальной валюты. Мотивация оттока капиталов - ощущение российскими бизнесменами политической и экономической нестабильности в России. Значительная часть накопленных российскими бизнесменами средств под влиянием страха перед возможным социальным взрывом в силу инфляции и непрерывного падения курса рубля, боязни денежной реформы переправляется ими в западные банки или используется для покупки недвижимости и ценных бумаг.</w:t>
      </w:r>
    </w:p>
    <w:p w:rsidR="0040614A" w:rsidRDefault="0040614A">
      <w:pPr>
        <w:ind w:firstLine="720"/>
        <w:rPr>
          <w:sz w:val="24"/>
        </w:rPr>
      </w:pPr>
      <w:r>
        <w:rPr>
          <w:sz w:val="24"/>
        </w:rPr>
        <w:t>Многие в российских деловых кругах чувствуют, что экономика России слишком нестабильна для осуществления долго-срочных инвестиций. Поэтому и предприятия используют свои сбережения не на  капиталовложения внутри страны, а на выдачу кредитов за рубеж. Компании-экспортеры, как правило, хранят свою прибыль на  счетах  в  зарубежных  банках вместо того,  чтобы ввозить ее обратно в Россию и направлять на новые инвестиции. Этот процесс, известный как утечка капитала, очень часто носит противозаконный характер. И все же, несмотря на ее противозаконность, утечка капитала находит логичное экономическое оправдание: гораздо надежнее помещать капитал в лондонский банк, чем в российскую экономику. Именно поэтому предприятия предпочитают  предоставлять кредиты иностранцам (помещая деньги в зарубежный банк), а не своим соотечественникам.</w:t>
      </w:r>
    </w:p>
    <w:p w:rsidR="0040614A" w:rsidRDefault="0040614A">
      <w:pPr>
        <w:ind w:firstLine="720"/>
        <w:rPr>
          <w:sz w:val="24"/>
        </w:rPr>
      </w:pPr>
      <w:r>
        <w:rPr>
          <w:sz w:val="24"/>
        </w:rPr>
        <w:t>Основные источники оттока капиталов могут быть как легитимными, так и нелегитимными. К числу легитимных источников относятся санкционированные  инвестиции  в экономику других стран в форме создания совместных предприятий или дочерних фирм. Общие масштабы оттока валюты не поддаются точному измерению, поскольку финансовая  статистика,  естественно,  учитывает  только  их легальную часть. Отток в крупных масштабах иностранной валюты за пределы России побудил власть принять организационно-правовые меры по ужесточением контроля за возвращением валютной выручки на территорию страны. Для того, чтобы российские фирмы не боялись инвестировать средства в экономику своей страны, необходимо создать условия для снижения инвестиционного риска.  Степень риска может быть уменьшена за счет снижения инфляции, принятия четкого экономического законодательства, основанного на рыночных потенциалах.</w:t>
      </w:r>
    </w:p>
    <w:p w:rsidR="0040614A" w:rsidRDefault="0040614A">
      <w:pPr>
        <w:ind w:firstLine="720"/>
        <w:rPr>
          <w:sz w:val="24"/>
        </w:rPr>
      </w:pPr>
      <w:r>
        <w:rPr>
          <w:sz w:val="24"/>
        </w:rPr>
        <w:t>Технология проведения рыночных реформ предполагает последовательность шагов  - наряду со стимулированием притока капитала сразу же принимаются меры, препятствующие его оттоку.</w:t>
      </w:r>
    </w:p>
    <w:p w:rsidR="0040614A" w:rsidRDefault="0040614A">
      <w:pPr>
        <w:ind w:firstLine="720"/>
        <w:rPr>
          <w:sz w:val="24"/>
        </w:rPr>
      </w:pPr>
      <w:r>
        <w:rPr>
          <w:sz w:val="24"/>
        </w:rPr>
        <w:t>На сегодняшний момент по сведениям Госкомстата объемы вложений за границей весьма скромны - инвестиции российского капитала за границей составили 20 млн. долларов и 2.6 млрд. рублей, при этом объем прямых инвестиций составил всего 3 млн. долларов и они почти целиком направлялись в промышленность - цветную металлургию, химическую и нефтехимическую отрасли. Однако по сведениям правоохранительных органов в 1991-1996 годах из России было вывезено около 150 млрд. долларов “грязных”, т.е. заработанных незаконным путем, денег и по статистике около 10 млрд. долларов чистых денег ежегодно вывозиться из России незаконным путем. Естественно, что государство заинтересовано в том, чтобы хотя бы часть “уплывших” потенциальных инвестиций вернуть.</w:t>
      </w:r>
    </w:p>
    <w:p w:rsidR="0040614A" w:rsidRDefault="0040614A">
      <w:pPr>
        <w:ind w:firstLine="720"/>
        <w:rPr>
          <w:sz w:val="24"/>
        </w:rPr>
      </w:pPr>
      <w:r>
        <w:rPr>
          <w:sz w:val="24"/>
        </w:rPr>
        <w:t>Сейчас правительство рассматривает законопроект о легализации размещенных за рубежом финансовых активов - о так называемой “экономической амнистии”. В этом проекте говорится о том, что все деньги могут вернуться в Россию и при уплате определенного налога государству эти деньги перестанут считаться нелегальными. Этот законопроект необходим правительству для возвращения в Россию “уплывших” денег. Однако по мнению экспертов этот проект не имеет будущего, так как деньги уходили из России из-за недоверия государству и не вернутся обратно, пока доверие к государству не восстановиться, а значит возвращение “уплывших” денег произойдет нескоро.</w:t>
      </w: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pStyle w:val="10"/>
        <w:spacing w:before="0" w:after="0"/>
        <w:rPr>
          <w:snapToGrid/>
        </w:rPr>
      </w:pPr>
      <w:r>
        <w:rPr>
          <w:snapToGrid/>
        </w:rPr>
        <w:t>2. Анализ и характеристика современного состояния экономики.</w:t>
      </w:r>
    </w:p>
    <w:p w:rsidR="0040614A" w:rsidRDefault="0040614A">
      <w:pPr>
        <w:rPr>
          <w:sz w:val="24"/>
        </w:rPr>
      </w:pPr>
    </w:p>
    <w:p w:rsidR="0040614A" w:rsidRDefault="0040614A">
      <w:pPr>
        <w:rPr>
          <w:sz w:val="24"/>
        </w:rPr>
      </w:pPr>
      <w:r>
        <w:rPr>
          <w:sz w:val="24"/>
        </w:rPr>
        <w:tab/>
        <w:t>Экономические проблемы инвестиционных процессов не могут быть понятны без анализа причин нынешнего состояния экономики.</w:t>
      </w:r>
    </w:p>
    <w:p w:rsidR="0040614A" w:rsidRDefault="0040614A">
      <w:pPr>
        <w:rPr>
          <w:sz w:val="24"/>
        </w:rPr>
      </w:pPr>
      <w:r>
        <w:rPr>
          <w:sz w:val="24"/>
        </w:rPr>
        <w:t>Инвестиционный процесс – принятие инвестором решения относительно объекта приложения интересов (куда осуществляются инвестиции), объемов и сроков инвестирования. Процедура инвестиционного процесса включает: выбор инвестиционной политики, анализ рынка, формирование и пересмотр инвестиционного портфеля, оценку его эффективности</w:t>
      </w:r>
    </w:p>
    <w:p w:rsidR="0040614A" w:rsidRDefault="0040614A">
      <w:pPr>
        <w:rPr>
          <w:sz w:val="24"/>
        </w:rPr>
      </w:pPr>
      <w:r>
        <w:rPr>
          <w:sz w:val="24"/>
        </w:rPr>
        <w:tab/>
        <w:t>Инвестиционная политика – совокупность хозяйственных решений, определяющих основные направления капитальных вложений, меры по их концентрации на решающих направлениях. Инвестиционная политика и капитальные вложения взаимосвязаны. Выбор инвестиционной политики включает определенные цели инвестора и объема инвестируемых средств. Она должна осуществляться в «прозрачных» условиях. При выполнении этих требований инвестор сможет понять инвестиционную политику относительно правил регулирования деятельности агентов рынка, сумеет определить инвестиционную привлекательность тех лиц, которые выпускаю ценные бумаги (эмитенты), и тех, кто под залог ценных бумаг имеет намерение привлечь вложения в конкретные проекты по выпуску продукции, пользующейся спросом на рынке. При наличии этих предпосылок можно оценить сложность финансовых проблем, связанных с кредитно-денежной, структурной, бюджетно-налоговой политикой, особенно в части методов формирования финансовых резервов для предотвращения кризисных явлений.</w:t>
      </w:r>
    </w:p>
    <w:p w:rsidR="0040614A" w:rsidRDefault="0040614A">
      <w:pPr>
        <w:rPr>
          <w:sz w:val="24"/>
        </w:rPr>
      </w:pPr>
      <w:r>
        <w:rPr>
          <w:sz w:val="24"/>
        </w:rPr>
        <w:tab/>
        <w:t>Выполнение этих условий позволяет сформировать составляющие кредитного рейтинга, определяющего уровень рисков инвестиционных вложений. Таковы основные элементы, характеризующие инвестиционную политику и действия по ее формированию.</w:t>
      </w:r>
    </w:p>
    <w:p w:rsidR="0040614A" w:rsidRDefault="0040614A">
      <w:pPr>
        <w:rPr>
          <w:sz w:val="24"/>
        </w:rPr>
      </w:pPr>
      <w:r>
        <w:rPr>
          <w:sz w:val="24"/>
        </w:rPr>
        <w:tab/>
        <w:t xml:space="preserve">Экономическое развитие России за годы реформ характеризуется беспрецедентным падением объемов производства и еще в большей степени замораживанием инвестиционной активности. Валовой внутренний продукт ежегодно сокращался. Динамика 1998, 1999 годов соответствовала этим же тенденциям. Казалось бы, 1997 г. можно было считать переломным: рост ВВП в целом за год – 0.4%. Однако следующие три обстоятельства не позволяют сделать такого вывода </w:t>
      </w:r>
      <w:r>
        <w:rPr>
          <w:sz w:val="24"/>
          <w:lang w:val="en-US"/>
        </w:rPr>
        <w:t>{</w:t>
      </w:r>
      <w:r>
        <w:rPr>
          <w:sz w:val="24"/>
        </w:rPr>
        <w:t>12, с. 91</w:t>
      </w:r>
      <w:r>
        <w:rPr>
          <w:sz w:val="24"/>
          <w:lang w:val="en-US"/>
        </w:rPr>
        <w:t>}</w:t>
      </w:r>
      <w:r>
        <w:rPr>
          <w:sz w:val="24"/>
        </w:rPr>
        <w:t>. Во-первых, намечавшийся незначительный подъем происходит после столь значительного падения, что буквально утонул в обвальном снижении производства. Если сопоставть это снижение с падением объемов производства за годы Великой Отечественной войны (27%), то станет понятна глубина экономического спада, переживаемого Россией. Во-вторых, статистические данные о подъеме на 0.4 % лежат на уровне погрешности статистического учета стоимостного объема производства в сопоставимых ценах. В-третьих, подлинный и устойчивый рост всегда начинается с активизацией инвестиций в реальную экономику. Но этого не произошло ни в 1997 г., ни в 1999 г., проблема инвестиций еще более обострилась.</w:t>
      </w:r>
    </w:p>
    <w:p w:rsidR="0040614A" w:rsidRDefault="0040614A">
      <w:pPr>
        <w:rPr>
          <w:sz w:val="24"/>
        </w:rPr>
      </w:pPr>
      <w:r>
        <w:rPr>
          <w:sz w:val="24"/>
        </w:rPr>
        <w:t xml:space="preserve">Можно согласиться с В. Кушлиным, что начало российских реформ прошло под воздействием увлеченности универсальными возможностями рынка и романтичной веры в высший приоритет «общечеловеческих» ценностей </w:t>
      </w:r>
      <w:r>
        <w:rPr>
          <w:sz w:val="24"/>
          <w:lang w:val="en-US"/>
        </w:rPr>
        <w:t>{13, с.4} Это наложило отпечаток на идеологию и ход пр</w:t>
      </w:r>
      <w:r>
        <w:rPr>
          <w:sz w:val="24"/>
        </w:rPr>
        <w:t>еобразований. На первый план был поставлен частный экономический интерес предпринимателей, а на деле – новых финансовых структур. Экономические же интересы страны в целом оказались в разряде скомпрометировавших себя и «отживших» категорий. Результаты по большому числу обобщающих параметров функционирования экономики представлены в табл.1</w:t>
      </w: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Таблица 1</w:t>
      </w:r>
    </w:p>
    <w:p w:rsidR="0040614A" w:rsidRDefault="0040614A">
      <w:pPr>
        <w:pStyle w:val="3"/>
      </w:pPr>
      <w:r>
        <w:t>Индексы некоторых социально-экономических показателей Российской Федерации</w:t>
      </w:r>
    </w:p>
    <w:p w:rsidR="0040614A" w:rsidRDefault="0040614A">
      <w:pPr>
        <w:rPr>
          <w:sz w:val="24"/>
        </w:rPr>
      </w:pPr>
      <w:r>
        <w:rPr>
          <w:sz w:val="24"/>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774"/>
        <w:gridCol w:w="2754"/>
      </w:tblGrid>
      <w:tr w:rsidR="0040614A">
        <w:tc>
          <w:tcPr>
            <w:tcW w:w="3794" w:type="dxa"/>
          </w:tcPr>
          <w:p w:rsidR="0040614A" w:rsidRDefault="0040614A">
            <w:pPr>
              <w:rPr>
                <w:sz w:val="24"/>
              </w:rPr>
            </w:pPr>
            <w:r>
              <w:rPr>
                <w:sz w:val="24"/>
              </w:rPr>
              <w:t>Показатель</w:t>
            </w:r>
          </w:p>
        </w:tc>
        <w:tc>
          <w:tcPr>
            <w:tcW w:w="2774" w:type="dxa"/>
          </w:tcPr>
          <w:p w:rsidR="0040614A" w:rsidRDefault="0040614A">
            <w:pPr>
              <w:jc w:val="center"/>
              <w:rPr>
                <w:sz w:val="24"/>
              </w:rPr>
            </w:pPr>
            <w:r>
              <w:rPr>
                <w:sz w:val="24"/>
              </w:rPr>
              <w:t>1996 к 1990 г.</w:t>
            </w:r>
          </w:p>
        </w:tc>
        <w:tc>
          <w:tcPr>
            <w:tcW w:w="2754" w:type="dxa"/>
          </w:tcPr>
          <w:p w:rsidR="0040614A" w:rsidRDefault="0040614A">
            <w:pPr>
              <w:jc w:val="center"/>
              <w:rPr>
                <w:sz w:val="24"/>
              </w:rPr>
            </w:pPr>
            <w:r>
              <w:rPr>
                <w:sz w:val="24"/>
              </w:rPr>
              <w:t>1999 к 1990 г.</w:t>
            </w:r>
          </w:p>
        </w:tc>
      </w:tr>
      <w:tr w:rsidR="0040614A">
        <w:tc>
          <w:tcPr>
            <w:tcW w:w="3794" w:type="dxa"/>
          </w:tcPr>
          <w:p w:rsidR="0040614A" w:rsidRDefault="0040614A">
            <w:pPr>
              <w:rPr>
                <w:sz w:val="24"/>
              </w:rPr>
            </w:pPr>
            <w:r>
              <w:rPr>
                <w:sz w:val="24"/>
              </w:rPr>
              <w:t>ВВП</w:t>
            </w:r>
          </w:p>
        </w:tc>
        <w:tc>
          <w:tcPr>
            <w:tcW w:w="2774" w:type="dxa"/>
          </w:tcPr>
          <w:p w:rsidR="0040614A" w:rsidRDefault="0040614A">
            <w:pPr>
              <w:jc w:val="center"/>
              <w:rPr>
                <w:sz w:val="24"/>
              </w:rPr>
            </w:pPr>
            <w:r>
              <w:rPr>
                <w:sz w:val="24"/>
              </w:rPr>
              <w:t>58,5</w:t>
            </w:r>
          </w:p>
        </w:tc>
        <w:tc>
          <w:tcPr>
            <w:tcW w:w="2754" w:type="dxa"/>
          </w:tcPr>
          <w:p w:rsidR="0040614A" w:rsidRDefault="0040614A">
            <w:pPr>
              <w:jc w:val="center"/>
              <w:rPr>
                <w:sz w:val="24"/>
              </w:rPr>
            </w:pPr>
            <w:r>
              <w:rPr>
                <w:sz w:val="24"/>
              </w:rPr>
              <w:t>56,1</w:t>
            </w:r>
          </w:p>
        </w:tc>
      </w:tr>
      <w:tr w:rsidR="0040614A">
        <w:tc>
          <w:tcPr>
            <w:tcW w:w="3794" w:type="dxa"/>
          </w:tcPr>
          <w:p w:rsidR="0040614A" w:rsidRDefault="0040614A">
            <w:pPr>
              <w:rPr>
                <w:sz w:val="24"/>
              </w:rPr>
            </w:pPr>
            <w:r>
              <w:rPr>
                <w:sz w:val="24"/>
              </w:rPr>
              <w:t>Продукция промышленности</w:t>
            </w:r>
          </w:p>
        </w:tc>
        <w:tc>
          <w:tcPr>
            <w:tcW w:w="2774" w:type="dxa"/>
          </w:tcPr>
          <w:p w:rsidR="0040614A" w:rsidRDefault="0040614A">
            <w:pPr>
              <w:jc w:val="center"/>
              <w:rPr>
                <w:sz w:val="24"/>
              </w:rPr>
            </w:pPr>
            <w:r>
              <w:rPr>
                <w:sz w:val="24"/>
              </w:rPr>
              <w:t>47,2</w:t>
            </w:r>
          </w:p>
        </w:tc>
        <w:tc>
          <w:tcPr>
            <w:tcW w:w="2754" w:type="dxa"/>
          </w:tcPr>
          <w:p w:rsidR="0040614A" w:rsidRDefault="0040614A">
            <w:pPr>
              <w:jc w:val="center"/>
              <w:rPr>
                <w:sz w:val="24"/>
              </w:rPr>
            </w:pPr>
            <w:r>
              <w:rPr>
                <w:sz w:val="24"/>
              </w:rPr>
              <w:t>50,1</w:t>
            </w:r>
          </w:p>
        </w:tc>
      </w:tr>
      <w:tr w:rsidR="0040614A">
        <w:tc>
          <w:tcPr>
            <w:tcW w:w="3794" w:type="dxa"/>
          </w:tcPr>
          <w:p w:rsidR="0040614A" w:rsidRDefault="0040614A">
            <w:pPr>
              <w:rPr>
                <w:sz w:val="24"/>
              </w:rPr>
            </w:pPr>
            <w:r>
              <w:rPr>
                <w:sz w:val="24"/>
              </w:rPr>
              <w:t>Продукция сельского хозяйства</w:t>
            </w:r>
          </w:p>
        </w:tc>
        <w:tc>
          <w:tcPr>
            <w:tcW w:w="2774" w:type="dxa"/>
          </w:tcPr>
          <w:p w:rsidR="0040614A" w:rsidRDefault="0040614A">
            <w:pPr>
              <w:jc w:val="center"/>
              <w:rPr>
                <w:sz w:val="24"/>
              </w:rPr>
            </w:pPr>
            <w:r>
              <w:rPr>
                <w:sz w:val="24"/>
              </w:rPr>
              <w:t>55,1</w:t>
            </w:r>
          </w:p>
        </w:tc>
        <w:tc>
          <w:tcPr>
            <w:tcW w:w="2754" w:type="dxa"/>
          </w:tcPr>
          <w:p w:rsidR="0040614A" w:rsidRDefault="0040614A">
            <w:pPr>
              <w:jc w:val="center"/>
              <w:rPr>
                <w:sz w:val="24"/>
              </w:rPr>
            </w:pPr>
            <w:r>
              <w:rPr>
                <w:sz w:val="24"/>
              </w:rPr>
              <w:t>58,0</w:t>
            </w:r>
          </w:p>
        </w:tc>
      </w:tr>
      <w:tr w:rsidR="0040614A">
        <w:tc>
          <w:tcPr>
            <w:tcW w:w="3794" w:type="dxa"/>
          </w:tcPr>
          <w:p w:rsidR="0040614A" w:rsidRDefault="0040614A">
            <w:pPr>
              <w:rPr>
                <w:sz w:val="24"/>
              </w:rPr>
            </w:pPr>
            <w:r>
              <w:rPr>
                <w:sz w:val="24"/>
              </w:rPr>
              <w:t>Капитальные вложения</w:t>
            </w:r>
          </w:p>
        </w:tc>
        <w:tc>
          <w:tcPr>
            <w:tcW w:w="2774" w:type="dxa"/>
          </w:tcPr>
          <w:p w:rsidR="0040614A" w:rsidRDefault="0040614A">
            <w:pPr>
              <w:jc w:val="center"/>
              <w:rPr>
                <w:sz w:val="24"/>
              </w:rPr>
            </w:pPr>
            <w:r>
              <w:rPr>
                <w:sz w:val="24"/>
              </w:rPr>
              <w:t>25,0</w:t>
            </w:r>
          </w:p>
        </w:tc>
        <w:tc>
          <w:tcPr>
            <w:tcW w:w="2754" w:type="dxa"/>
          </w:tcPr>
          <w:p w:rsidR="0040614A" w:rsidRDefault="0040614A">
            <w:pPr>
              <w:jc w:val="center"/>
              <w:rPr>
                <w:sz w:val="24"/>
              </w:rPr>
            </w:pPr>
            <w:r>
              <w:rPr>
                <w:sz w:val="24"/>
              </w:rPr>
              <w:t>22,5</w:t>
            </w:r>
          </w:p>
        </w:tc>
      </w:tr>
      <w:tr w:rsidR="0040614A">
        <w:tc>
          <w:tcPr>
            <w:tcW w:w="3794" w:type="dxa"/>
          </w:tcPr>
          <w:p w:rsidR="0040614A" w:rsidRDefault="0040614A">
            <w:pPr>
              <w:rPr>
                <w:sz w:val="24"/>
              </w:rPr>
            </w:pPr>
            <w:r>
              <w:rPr>
                <w:sz w:val="24"/>
              </w:rPr>
              <w:t>Розничный товарооборот</w:t>
            </w:r>
          </w:p>
        </w:tc>
        <w:tc>
          <w:tcPr>
            <w:tcW w:w="2774" w:type="dxa"/>
          </w:tcPr>
          <w:p w:rsidR="0040614A" w:rsidRDefault="0040614A">
            <w:pPr>
              <w:jc w:val="center"/>
              <w:rPr>
                <w:sz w:val="24"/>
              </w:rPr>
            </w:pPr>
            <w:r>
              <w:rPr>
                <w:sz w:val="24"/>
              </w:rPr>
              <w:t>85,1</w:t>
            </w:r>
          </w:p>
        </w:tc>
        <w:tc>
          <w:tcPr>
            <w:tcW w:w="2754" w:type="dxa"/>
          </w:tcPr>
          <w:p w:rsidR="0040614A" w:rsidRDefault="0040614A">
            <w:pPr>
              <w:jc w:val="center"/>
              <w:rPr>
                <w:sz w:val="24"/>
              </w:rPr>
            </w:pPr>
            <w:r>
              <w:rPr>
                <w:sz w:val="24"/>
              </w:rPr>
              <w:t>76,0</w:t>
            </w:r>
          </w:p>
        </w:tc>
      </w:tr>
      <w:tr w:rsidR="0040614A">
        <w:tc>
          <w:tcPr>
            <w:tcW w:w="3794" w:type="dxa"/>
          </w:tcPr>
          <w:p w:rsidR="0040614A" w:rsidRDefault="0040614A">
            <w:pPr>
              <w:rPr>
                <w:sz w:val="24"/>
              </w:rPr>
            </w:pPr>
            <w:r>
              <w:rPr>
                <w:sz w:val="24"/>
              </w:rPr>
              <w:t>Среднемесячная заработная плата</w:t>
            </w:r>
          </w:p>
        </w:tc>
        <w:tc>
          <w:tcPr>
            <w:tcW w:w="2774" w:type="dxa"/>
          </w:tcPr>
          <w:p w:rsidR="0040614A" w:rsidRDefault="0040614A">
            <w:pPr>
              <w:jc w:val="center"/>
              <w:rPr>
                <w:sz w:val="24"/>
              </w:rPr>
            </w:pPr>
            <w:r>
              <w:rPr>
                <w:sz w:val="24"/>
              </w:rPr>
              <w:t>45,4</w:t>
            </w:r>
          </w:p>
        </w:tc>
        <w:tc>
          <w:tcPr>
            <w:tcW w:w="2754" w:type="dxa"/>
          </w:tcPr>
          <w:p w:rsidR="0040614A" w:rsidRDefault="0040614A">
            <w:pPr>
              <w:jc w:val="center"/>
              <w:rPr>
                <w:sz w:val="24"/>
              </w:rPr>
            </w:pPr>
            <w:r>
              <w:rPr>
                <w:sz w:val="24"/>
              </w:rPr>
              <w:t>75,3</w:t>
            </w:r>
          </w:p>
        </w:tc>
      </w:tr>
    </w:tbl>
    <w:p w:rsidR="0040614A" w:rsidRDefault="0040614A">
      <w:pPr>
        <w:rPr>
          <w:i/>
        </w:rPr>
      </w:pPr>
      <w:r>
        <w:rPr>
          <w:i/>
        </w:rPr>
        <w:t>Источник: Социально-экономическое положение России 1999</w:t>
      </w:r>
      <w:r>
        <w:rPr>
          <w:i/>
          <w:lang w:val="en-US"/>
        </w:rPr>
        <w:t>/</w:t>
      </w:r>
      <w:r>
        <w:rPr>
          <w:i/>
        </w:rPr>
        <w:t xml:space="preserve"> Госкомстат РФ. М.: Б.и. 2000 № 12. 370 с.</w:t>
      </w:r>
    </w:p>
    <w:p w:rsidR="0040614A" w:rsidRDefault="0040614A">
      <w:pPr>
        <w:rPr>
          <w:sz w:val="24"/>
        </w:rPr>
      </w:pPr>
    </w:p>
    <w:p w:rsidR="0040614A" w:rsidRDefault="0040614A">
      <w:pPr>
        <w:rPr>
          <w:sz w:val="24"/>
        </w:rPr>
      </w:pPr>
      <w:r>
        <w:rPr>
          <w:sz w:val="24"/>
        </w:rPr>
        <w:t xml:space="preserve">Критерий рентабельности мирового рынка не совпадает с критерием национально-государственных интересов России. Западным ТНК, как субъектам мирового рынка играющим ведущую роль в определении его рентабельности, выгодна ситуация, когда подавляющая часть обрабатывающей промышленности России демонтируется, а топливно-энергетические ресурсы и сырье в преобладающей части экспортируются на Запад. Для России экономически выгодной является ситуация, при которой морально устаревшие производственные мощности заменялись на новые </w:t>
      </w:r>
      <w:r>
        <w:rPr>
          <w:sz w:val="24"/>
          <w:lang w:val="en-US"/>
        </w:rPr>
        <w:t xml:space="preserve">{12, </w:t>
      </w:r>
      <w:r>
        <w:rPr>
          <w:sz w:val="24"/>
        </w:rPr>
        <w:t>с. 105</w:t>
      </w:r>
      <w:r>
        <w:rPr>
          <w:sz w:val="24"/>
          <w:lang w:val="en-US"/>
        </w:rPr>
        <w:t xml:space="preserve">}. Это </w:t>
      </w:r>
      <w:r>
        <w:rPr>
          <w:sz w:val="24"/>
        </w:rPr>
        <w:t>возможно при трех условиях: государственное программирование и регулирование экономики; проведение ступенчатой реконструкции и модернизации по мере мобилизации инвестиционных ресурсов; выстраивание реформ с опорой прежде всего на собственные инвестиционные ресурсы и с привлечением зарубежных инвестиционных ресурсов лишь в качестве дополнения.</w:t>
      </w:r>
    </w:p>
    <w:p w:rsidR="0040614A" w:rsidRDefault="0040614A">
      <w:pPr>
        <w:rPr>
          <w:sz w:val="24"/>
        </w:rPr>
      </w:pPr>
      <w:r>
        <w:rPr>
          <w:sz w:val="24"/>
        </w:rPr>
        <w:tab/>
        <w:t>Можно согласиться с точкой зрения ряда исследователей, что простенькая «шоковая терапия» (отпустим сразу почти все цены), «ваучерная приватизация» (всем дадим по ваучеру) ни к чему другому. Кроме того, что получилось, и не могли привести (табл. 2).</w:t>
      </w:r>
    </w:p>
    <w:p w:rsidR="0040614A" w:rsidRDefault="0040614A">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Таблица 2</w:t>
      </w:r>
    </w:p>
    <w:p w:rsidR="0040614A" w:rsidRDefault="0040614A">
      <w:pPr>
        <w:pStyle w:val="3"/>
      </w:pPr>
      <w:r>
        <w:t xml:space="preserve">Динамика финансовых показателей Российской Федерации в 1991-1999 гг.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724"/>
        <w:gridCol w:w="724"/>
        <w:gridCol w:w="725"/>
        <w:gridCol w:w="724"/>
        <w:gridCol w:w="725"/>
        <w:gridCol w:w="724"/>
        <w:gridCol w:w="725"/>
        <w:gridCol w:w="882"/>
        <w:gridCol w:w="709"/>
      </w:tblGrid>
      <w:tr w:rsidR="0040614A">
        <w:trPr>
          <w:cantSplit/>
        </w:trPr>
        <w:tc>
          <w:tcPr>
            <w:tcW w:w="3227" w:type="dxa"/>
          </w:tcPr>
          <w:p w:rsidR="0040614A" w:rsidRDefault="0040614A">
            <w:pPr>
              <w:rPr>
                <w:sz w:val="24"/>
              </w:rPr>
            </w:pPr>
            <w:r>
              <w:rPr>
                <w:sz w:val="24"/>
              </w:rPr>
              <w:t>Показатель</w:t>
            </w:r>
          </w:p>
        </w:tc>
        <w:tc>
          <w:tcPr>
            <w:tcW w:w="724" w:type="dxa"/>
          </w:tcPr>
          <w:p w:rsidR="0040614A" w:rsidRDefault="0040614A">
            <w:pPr>
              <w:jc w:val="center"/>
              <w:rPr>
                <w:sz w:val="22"/>
              </w:rPr>
            </w:pPr>
            <w:r>
              <w:rPr>
                <w:sz w:val="22"/>
              </w:rPr>
              <w:t>1991</w:t>
            </w:r>
          </w:p>
        </w:tc>
        <w:tc>
          <w:tcPr>
            <w:tcW w:w="724" w:type="dxa"/>
          </w:tcPr>
          <w:p w:rsidR="0040614A" w:rsidRDefault="0040614A">
            <w:pPr>
              <w:jc w:val="center"/>
              <w:rPr>
                <w:sz w:val="22"/>
              </w:rPr>
            </w:pPr>
            <w:r>
              <w:rPr>
                <w:sz w:val="22"/>
              </w:rPr>
              <w:t>1992</w:t>
            </w:r>
          </w:p>
        </w:tc>
        <w:tc>
          <w:tcPr>
            <w:tcW w:w="725" w:type="dxa"/>
          </w:tcPr>
          <w:p w:rsidR="0040614A" w:rsidRDefault="0040614A">
            <w:pPr>
              <w:jc w:val="center"/>
              <w:rPr>
                <w:sz w:val="22"/>
              </w:rPr>
            </w:pPr>
            <w:r>
              <w:rPr>
                <w:sz w:val="22"/>
              </w:rPr>
              <w:t>1993</w:t>
            </w:r>
          </w:p>
        </w:tc>
        <w:tc>
          <w:tcPr>
            <w:tcW w:w="724" w:type="dxa"/>
          </w:tcPr>
          <w:p w:rsidR="0040614A" w:rsidRDefault="0040614A">
            <w:pPr>
              <w:jc w:val="center"/>
              <w:rPr>
                <w:sz w:val="22"/>
              </w:rPr>
            </w:pPr>
            <w:r>
              <w:rPr>
                <w:sz w:val="22"/>
              </w:rPr>
              <w:t>1994</w:t>
            </w:r>
          </w:p>
        </w:tc>
        <w:tc>
          <w:tcPr>
            <w:tcW w:w="725" w:type="dxa"/>
          </w:tcPr>
          <w:p w:rsidR="0040614A" w:rsidRDefault="0040614A">
            <w:pPr>
              <w:jc w:val="center"/>
              <w:rPr>
                <w:sz w:val="22"/>
              </w:rPr>
            </w:pPr>
            <w:r>
              <w:rPr>
                <w:sz w:val="22"/>
              </w:rPr>
              <w:t>1995</w:t>
            </w:r>
          </w:p>
        </w:tc>
        <w:tc>
          <w:tcPr>
            <w:tcW w:w="724" w:type="dxa"/>
          </w:tcPr>
          <w:p w:rsidR="0040614A" w:rsidRDefault="0040614A">
            <w:pPr>
              <w:jc w:val="center"/>
              <w:rPr>
                <w:sz w:val="22"/>
              </w:rPr>
            </w:pPr>
            <w:r>
              <w:rPr>
                <w:sz w:val="22"/>
              </w:rPr>
              <w:t>1996</w:t>
            </w:r>
          </w:p>
        </w:tc>
        <w:tc>
          <w:tcPr>
            <w:tcW w:w="725" w:type="dxa"/>
          </w:tcPr>
          <w:p w:rsidR="0040614A" w:rsidRDefault="0040614A">
            <w:pPr>
              <w:jc w:val="center"/>
              <w:rPr>
                <w:sz w:val="22"/>
              </w:rPr>
            </w:pPr>
            <w:r>
              <w:rPr>
                <w:sz w:val="22"/>
              </w:rPr>
              <w:t>1997</w:t>
            </w:r>
          </w:p>
        </w:tc>
        <w:tc>
          <w:tcPr>
            <w:tcW w:w="882" w:type="dxa"/>
          </w:tcPr>
          <w:p w:rsidR="0040614A" w:rsidRDefault="0040614A">
            <w:pPr>
              <w:jc w:val="center"/>
              <w:rPr>
                <w:sz w:val="22"/>
              </w:rPr>
            </w:pPr>
            <w:r>
              <w:rPr>
                <w:sz w:val="22"/>
              </w:rPr>
              <w:t>1998</w:t>
            </w:r>
          </w:p>
        </w:tc>
        <w:tc>
          <w:tcPr>
            <w:tcW w:w="709" w:type="dxa"/>
          </w:tcPr>
          <w:p w:rsidR="0040614A" w:rsidRDefault="0040614A">
            <w:pPr>
              <w:jc w:val="center"/>
              <w:rPr>
                <w:sz w:val="22"/>
              </w:rPr>
            </w:pPr>
            <w:r>
              <w:rPr>
                <w:sz w:val="22"/>
              </w:rPr>
              <w:t>1999</w:t>
            </w:r>
          </w:p>
        </w:tc>
      </w:tr>
      <w:tr w:rsidR="0040614A">
        <w:trPr>
          <w:cantSplit/>
        </w:trPr>
        <w:tc>
          <w:tcPr>
            <w:tcW w:w="3227" w:type="dxa"/>
          </w:tcPr>
          <w:p w:rsidR="0040614A" w:rsidRDefault="0040614A">
            <w:pPr>
              <w:rPr>
                <w:sz w:val="24"/>
              </w:rPr>
            </w:pPr>
            <w:r>
              <w:rPr>
                <w:sz w:val="24"/>
              </w:rPr>
              <w:t>ВВП, % к 1990 г.</w:t>
            </w:r>
          </w:p>
        </w:tc>
        <w:tc>
          <w:tcPr>
            <w:tcW w:w="724" w:type="dxa"/>
          </w:tcPr>
          <w:p w:rsidR="0040614A" w:rsidRDefault="0040614A">
            <w:pPr>
              <w:jc w:val="center"/>
              <w:rPr>
                <w:sz w:val="22"/>
              </w:rPr>
            </w:pPr>
            <w:r>
              <w:rPr>
                <w:sz w:val="22"/>
              </w:rPr>
              <w:t>95,0</w:t>
            </w:r>
          </w:p>
        </w:tc>
        <w:tc>
          <w:tcPr>
            <w:tcW w:w="724" w:type="dxa"/>
          </w:tcPr>
          <w:p w:rsidR="0040614A" w:rsidRDefault="0040614A">
            <w:pPr>
              <w:jc w:val="center"/>
              <w:rPr>
                <w:sz w:val="22"/>
              </w:rPr>
            </w:pPr>
            <w:r>
              <w:rPr>
                <w:sz w:val="22"/>
              </w:rPr>
              <w:t>81,2</w:t>
            </w:r>
          </w:p>
        </w:tc>
        <w:tc>
          <w:tcPr>
            <w:tcW w:w="725" w:type="dxa"/>
          </w:tcPr>
          <w:p w:rsidR="0040614A" w:rsidRDefault="0040614A">
            <w:pPr>
              <w:jc w:val="center"/>
              <w:rPr>
                <w:sz w:val="22"/>
              </w:rPr>
            </w:pPr>
            <w:r>
              <w:rPr>
                <w:sz w:val="22"/>
              </w:rPr>
              <w:t>74,2</w:t>
            </w:r>
          </w:p>
        </w:tc>
        <w:tc>
          <w:tcPr>
            <w:tcW w:w="724" w:type="dxa"/>
          </w:tcPr>
          <w:p w:rsidR="0040614A" w:rsidRDefault="0040614A">
            <w:pPr>
              <w:jc w:val="center"/>
              <w:rPr>
                <w:sz w:val="22"/>
              </w:rPr>
            </w:pPr>
            <w:r>
              <w:rPr>
                <w:sz w:val="22"/>
              </w:rPr>
              <w:t>64,8</w:t>
            </w:r>
          </w:p>
        </w:tc>
        <w:tc>
          <w:tcPr>
            <w:tcW w:w="725" w:type="dxa"/>
          </w:tcPr>
          <w:p w:rsidR="0040614A" w:rsidRDefault="0040614A">
            <w:pPr>
              <w:jc w:val="center"/>
              <w:rPr>
                <w:sz w:val="22"/>
              </w:rPr>
            </w:pPr>
            <w:r>
              <w:rPr>
                <w:sz w:val="22"/>
              </w:rPr>
              <w:t>62,2</w:t>
            </w:r>
          </w:p>
        </w:tc>
        <w:tc>
          <w:tcPr>
            <w:tcW w:w="724" w:type="dxa"/>
          </w:tcPr>
          <w:p w:rsidR="0040614A" w:rsidRDefault="0040614A">
            <w:pPr>
              <w:jc w:val="center"/>
              <w:rPr>
                <w:sz w:val="22"/>
              </w:rPr>
            </w:pPr>
            <w:r>
              <w:rPr>
                <w:sz w:val="22"/>
              </w:rPr>
              <w:t>58,5</w:t>
            </w:r>
          </w:p>
        </w:tc>
        <w:tc>
          <w:tcPr>
            <w:tcW w:w="725" w:type="dxa"/>
          </w:tcPr>
          <w:p w:rsidR="0040614A" w:rsidRDefault="0040614A">
            <w:pPr>
              <w:jc w:val="center"/>
              <w:rPr>
                <w:sz w:val="22"/>
              </w:rPr>
            </w:pPr>
            <w:r>
              <w:rPr>
                <w:sz w:val="22"/>
              </w:rPr>
              <w:t>56,0</w:t>
            </w:r>
          </w:p>
        </w:tc>
        <w:tc>
          <w:tcPr>
            <w:tcW w:w="882" w:type="dxa"/>
          </w:tcPr>
          <w:p w:rsidR="0040614A" w:rsidRDefault="0040614A">
            <w:pPr>
              <w:jc w:val="center"/>
              <w:rPr>
                <w:sz w:val="22"/>
              </w:rPr>
            </w:pPr>
            <w:r>
              <w:rPr>
                <w:sz w:val="22"/>
              </w:rPr>
              <w:t>54,3</w:t>
            </w:r>
          </w:p>
        </w:tc>
        <w:tc>
          <w:tcPr>
            <w:tcW w:w="709" w:type="dxa"/>
          </w:tcPr>
          <w:p w:rsidR="0040614A" w:rsidRDefault="0040614A">
            <w:pPr>
              <w:jc w:val="center"/>
              <w:rPr>
                <w:sz w:val="22"/>
              </w:rPr>
            </w:pPr>
            <w:r>
              <w:rPr>
                <w:sz w:val="22"/>
              </w:rPr>
              <w:t>56,1</w:t>
            </w:r>
          </w:p>
        </w:tc>
      </w:tr>
      <w:tr w:rsidR="0040614A">
        <w:trPr>
          <w:cantSplit/>
        </w:trPr>
        <w:tc>
          <w:tcPr>
            <w:tcW w:w="3227" w:type="dxa"/>
          </w:tcPr>
          <w:p w:rsidR="0040614A" w:rsidRDefault="0040614A">
            <w:pPr>
              <w:rPr>
                <w:sz w:val="24"/>
              </w:rPr>
            </w:pPr>
            <w:r>
              <w:rPr>
                <w:sz w:val="24"/>
              </w:rPr>
              <w:t>Продукция промышленности, % к 1990 г.</w:t>
            </w:r>
          </w:p>
        </w:tc>
        <w:tc>
          <w:tcPr>
            <w:tcW w:w="724" w:type="dxa"/>
          </w:tcPr>
          <w:p w:rsidR="0040614A" w:rsidRDefault="0040614A">
            <w:pPr>
              <w:jc w:val="center"/>
              <w:rPr>
                <w:sz w:val="22"/>
              </w:rPr>
            </w:pPr>
            <w:r>
              <w:rPr>
                <w:sz w:val="22"/>
              </w:rPr>
              <w:t>92,0</w:t>
            </w:r>
          </w:p>
        </w:tc>
        <w:tc>
          <w:tcPr>
            <w:tcW w:w="724" w:type="dxa"/>
          </w:tcPr>
          <w:p w:rsidR="0040614A" w:rsidRDefault="0040614A">
            <w:pPr>
              <w:jc w:val="center"/>
              <w:rPr>
                <w:sz w:val="22"/>
              </w:rPr>
            </w:pPr>
            <w:r>
              <w:rPr>
                <w:sz w:val="22"/>
              </w:rPr>
              <w:t>75,0</w:t>
            </w:r>
          </w:p>
        </w:tc>
        <w:tc>
          <w:tcPr>
            <w:tcW w:w="725" w:type="dxa"/>
          </w:tcPr>
          <w:p w:rsidR="0040614A" w:rsidRDefault="0040614A">
            <w:pPr>
              <w:jc w:val="center"/>
              <w:rPr>
                <w:sz w:val="22"/>
              </w:rPr>
            </w:pPr>
            <w:r>
              <w:rPr>
                <w:sz w:val="22"/>
              </w:rPr>
              <w:t>65,0</w:t>
            </w:r>
          </w:p>
        </w:tc>
        <w:tc>
          <w:tcPr>
            <w:tcW w:w="724" w:type="dxa"/>
          </w:tcPr>
          <w:p w:rsidR="0040614A" w:rsidRDefault="0040614A">
            <w:pPr>
              <w:jc w:val="center"/>
              <w:rPr>
                <w:sz w:val="22"/>
              </w:rPr>
            </w:pPr>
            <w:r>
              <w:rPr>
                <w:sz w:val="22"/>
              </w:rPr>
              <w:t>51,0</w:t>
            </w:r>
          </w:p>
        </w:tc>
        <w:tc>
          <w:tcPr>
            <w:tcW w:w="725" w:type="dxa"/>
          </w:tcPr>
          <w:p w:rsidR="0040614A" w:rsidRDefault="0040614A">
            <w:pPr>
              <w:jc w:val="center"/>
              <w:rPr>
                <w:sz w:val="22"/>
              </w:rPr>
            </w:pPr>
            <w:r>
              <w:rPr>
                <w:sz w:val="22"/>
              </w:rPr>
              <w:t>50,0</w:t>
            </w:r>
          </w:p>
        </w:tc>
        <w:tc>
          <w:tcPr>
            <w:tcW w:w="724" w:type="dxa"/>
          </w:tcPr>
          <w:p w:rsidR="0040614A" w:rsidRDefault="0040614A">
            <w:pPr>
              <w:jc w:val="center"/>
              <w:rPr>
                <w:sz w:val="22"/>
              </w:rPr>
            </w:pPr>
            <w:r>
              <w:rPr>
                <w:sz w:val="22"/>
              </w:rPr>
              <w:t>47,2</w:t>
            </w:r>
          </w:p>
        </w:tc>
        <w:tc>
          <w:tcPr>
            <w:tcW w:w="725" w:type="dxa"/>
          </w:tcPr>
          <w:p w:rsidR="0040614A" w:rsidRDefault="0040614A">
            <w:pPr>
              <w:jc w:val="center"/>
              <w:rPr>
                <w:sz w:val="22"/>
              </w:rPr>
            </w:pPr>
            <w:r>
              <w:rPr>
                <w:sz w:val="22"/>
              </w:rPr>
              <w:t>48,7</w:t>
            </w:r>
          </w:p>
        </w:tc>
        <w:tc>
          <w:tcPr>
            <w:tcW w:w="882" w:type="dxa"/>
          </w:tcPr>
          <w:p w:rsidR="0040614A" w:rsidRDefault="0040614A">
            <w:pPr>
              <w:jc w:val="center"/>
              <w:rPr>
                <w:sz w:val="22"/>
              </w:rPr>
            </w:pPr>
            <w:r>
              <w:rPr>
                <w:sz w:val="22"/>
              </w:rPr>
              <w:t>46,3</w:t>
            </w:r>
          </w:p>
        </w:tc>
        <w:tc>
          <w:tcPr>
            <w:tcW w:w="709" w:type="dxa"/>
          </w:tcPr>
          <w:p w:rsidR="0040614A" w:rsidRDefault="0040614A">
            <w:pPr>
              <w:jc w:val="center"/>
              <w:rPr>
                <w:sz w:val="22"/>
              </w:rPr>
            </w:pPr>
            <w:r>
              <w:rPr>
                <w:sz w:val="22"/>
              </w:rPr>
              <w:t>50,1</w:t>
            </w:r>
          </w:p>
        </w:tc>
      </w:tr>
      <w:tr w:rsidR="0040614A">
        <w:trPr>
          <w:cantSplit/>
        </w:trPr>
        <w:tc>
          <w:tcPr>
            <w:tcW w:w="3227" w:type="dxa"/>
          </w:tcPr>
          <w:p w:rsidR="0040614A" w:rsidRDefault="0040614A">
            <w:pPr>
              <w:rPr>
                <w:sz w:val="24"/>
              </w:rPr>
            </w:pPr>
            <w:r>
              <w:rPr>
                <w:sz w:val="24"/>
              </w:rPr>
              <w:t>Инвестиции в основной капитал, в % к 1990 г.</w:t>
            </w:r>
          </w:p>
        </w:tc>
        <w:tc>
          <w:tcPr>
            <w:tcW w:w="724" w:type="dxa"/>
          </w:tcPr>
          <w:p w:rsidR="0040614A" w:rsidRDefault="0040614A">
            <w:pPr>
              <w:jc w:val="center"/>
              <w:rPr>
                <w:sz w:val="22"/>
              </w:rPr>
            </w:pPr>
            <w:r>
              <w:rPr>
                <w:sz w:val="22"/>
              </w:rPr>
              <w:t>85,0</w:t>
            </w:r>
          </w:p>
        </w:tc>
        <w:tc>
          <w:tcPr>
            <w:tcW w:w="724" w:type="dxa"/>
          </w:tcPr>
          <w:p w:rsidR="0040614A" w:rsidRDefault="0040614A">
            <w:pPr>
              <w:jc w:val="center"/>
              <w:rPr>
                <w:sz w:val="22"/>
              </w:rPr>
            </w:pPr>
            <w:r>
              <w:rPr>
                <w:sz w:val="22"/>
              </w:rPr>
              <w:t>51,0</w:t>
            </w:r>
          </w:p>
        </w:tc>
        <w:tc>
          <w:tcPr>
            <w:tcW w:w="725" w:type="dxa"/>
          </w:tcPr>
          <w:p w:rsidR="0040614A" w:rsidRDefault="0040614A">
            <w:pPr>
              <w:jc w:val="center"/>
              <w:rPr>
                <w:sz w:val="22"/>
              </w:rPr>
            </w:pPr>
            <w:r>
              <w:rPr>
                <w:sz w:val="22"/>
              </w:rPr>
              <w:t>45,0</w:t>
            </w:r>
          </w:p>
        </w:tc>
        <w:tc>
          <w:tcPr>
            <w:tcW w:w="724" w:type="dxa"/>
          </w:tcPr>
          <w:p w:rsidR="0040614A" w:rsidRDefault="0040614A">
            <w:pPr>
              <w:jc w:val="center"/>
              <w:rPr>
                <w:sz w:val="22"/>
              </w:rPr>
            </w:pPr>
            <w:r>
              <w:rPr>
                <w:sz w:val="22"/>
              </w:rPr>
              <w:t>34,0</w:t>
            </w:r>
          </w:p>
        </w:tc>
        <w:tc>
          <w:tcPr>
            <w:tcW w:w="725" w:type="dxa"/>
          </w:tcPr>
          <w:p w:rsidR="0040614A" w:rsidRDefault="0040614A">
            <w:pPr>
              <w:jc w:val="center"/>
              <w:rPr>
                <w:sz w:val="22"/>
              </w:rPr>
            </w:pPr>
            <w:r>
              <w:rPr>
                <w:sz w:val="22"/>
              </w:rPr>
              <w:t>31,0</w:t>
            </w:r>
          </w:p>
        </w:tc>
        <w:tc>
          <w:tcPr>
            <w:tcW w:w="724" w:type="dxa"/>
          </w:tcPr>
          <w:p w:rsidR="0040614A" w:rsidRDefault="0040614A">
            <w:pPr>
              <w:jc w:val="center"/>
              <w:rPr>
                <w:sz w:val="22"/>
              </w:rPr>
            </w:pPr>
            <w:r>
              <w:rPr>
                <w:sz w:val="22"/>
              </w:rPr>
              <w:t>25,0</w:t>
            </w:r>
          </w:p>
        </w:tc>
        <w:tc>
          <w:tcPr>
            <w:tcW w:w="725" w:type="dxa"/>
          </w:tcPr>
          <w:p w:rsidR="0040614A" w:rsidRDefault="0040614A">
            <w:pPr>
              <w:jc w:val="center"/>
              <w:rPr>
                <w:sz w:val="22"/>
              </w:rPr>
            </w:pPr>
            <w:r>
              <w:rPr>
                <w:sz w:val="22"/>
              </w:rPr>
              <w:t>23,9</w:t>
            </w:r>
          </w:p>
        </w:tc>
        <w:tc>
          <w:tcPr>
            <w:tcW w:w="882" w:type="dxa"/>
          </w:tcPr>
          <w:p w:rsidR="0040614A" w:rsidRDefault="0040614A">
            <w:pPr>
              <w:jc w:val="center"/>
              <w:rPr>
                <w:sz w:val="22"/>
              </w:rPr>
            </w:pPr>
            <w:r>
              <w:rPr>
                <w:sz w:val="22"/>
              </w:rPr>
              <w:t>22,3</w:t>
            </w:r>
          </w:p>
        </w:tc>
        <w:tc>
          <w:tcPr>
            <w:tcW w:w="709" w:type="dxa"/>
          </w:tcPr>
          <w:p w:rsidR="0040614A" w:rsidRDefault="0040614A">
            <w:pPr>
              <w:jc w:val="center"/>
              <w:rPr>
                <w:sz w:val="22"/>
              </w:rPr>
            </w:pPr>
            <w:r>
              <w:rPr>
                <w:sz w:val="22"/>
              </w:rPr>
              <w:t>22,5</w:t>
            </w:r>
          </w:p>
        </w:tc>
      </w:tr>
      <w:tr w:rsidR="0040614A">
        <w:trPr>
          <w:cantSplit/>
        </w:trPr>
        <w:tc>
          <w:tcPr>
            <w:tcW w:w="3227" w:type="dxa"/>
          </w:tcPr>
          <w:p w:rsidR="0040614A" w:rsidRDefault="0040614A">
            <w:pPr>
              <w:rPr>
                <w:sz w:val="24"/>
              </w:rPr>
            </w:pPr>
            <w:r>
              <w:rPr>
                <w:sz w:val="24"/>
              </w:rPr>
              <w:t>Реальные денежные доходы населения, в % к 1990 г.</w:t>
            </w:r>
          </w:p>
        </w:tc>
        <w:tc>
          <w:tcPr>
            <w:tcW w:w="724" w:type="dxa"/>
          </w:tcPr>
          <w:p w:rsidR="0040614A" w:rsidRDefault="0040614A">
            <w:pPr>
              <w:jc w:val="center"/>
              <w:rPr>
                <w:sz w:val="22"/>
              </w:rPr>
            </w:pPr>
            <w:r>
              <w:rPr>
                <w:sz w:val="22"/>
              </w:rPr>
              <w:t>116,0</w:t>
            </w:r>
          </w:p>
        </w:tc>
        <w:tc>
          <w:tcPr>
            <w:tcW w:w="724" w:type="dxa"/>
          </w:tcPr>
          <w:p w:rsidR="0040614A" w:rsidRDefault="0040614A">
            <w:pPr>
              <w:jc w:val="center"/>
              <w:rPr>
                <w:sz w:val="22"/>
              </w:rPr>
            </w:pPr>
            <w:r>
              <w:rPr>
                <w:sz w:val="22"/>
              </w:rPr>
              <w:t>62,9</w:t>
            </w:r>
          </w:p>
        </w:tc>
        <w:tc>
          <w:tcPr>
            <w:tcW w:w="725" w:type="dxa"/>
          </w:tcPr>
          <w:p w:rsidR="0040614A" w:rsidRDefault="0040614A">
            <w:pPr>
              <w:jc w:val="center"/>
              <w:rPr>
                <w:sz w:val="22"/>
              </w:rPr>
            </w:pPr>
            <w:r>
              <w:rPr>
                <w:sz w:val="22"/>
              </w:rPr>
              <w:t>80,0</w:t>
            </w:r>
          </w:p>
        </w:tc>
        <w:tc>
          <w:tcPr>
            <w:tcW w:w="724" w:type="dxa"/>
          </w:tcPr>
          <w:p w:rsidR="0040614A" w:rsidRDefault="0040614A">
            <w:pPr>
              <w:jc w:val="center"/>
              <w:rPr>
                <w:sz w:val="22"/>
              </w:rPr>
            </w:pPr>
            <w:r>
              <w:rPr>
                <w:sz w:val="22"/>
              </w:rPr>
              <w:t>82,5</w:t>
            </w:r>
          </w:p>
        </w:tc>
        <w:tc>
          <w:tcPr>
            <w:tcW w:w="725" w:type="dxa"/>
          </w:tcPr>
          <w:p w:rsidR="0040614A" w:rsidRDefault="0040614A">
            <w:pPr>
              <w:jc w:val="center"/>
              <w:rPr>
                <w:sz w:val="22"/>
              </w:rPr>
            </w:pPr>
            <w:r>
              <w:rPr>
                <w:sz w:val="22"/>
              </w:rPr>
              <w:t>71,8</w:t>
            </w:r>
          </w:p>
        </w:tc>
        <w:tc>
          <w:tcPr>
            <w:tcW w:w="724" w:type="dxa"/>
          </w:tcPr>
          <w:p w:rsidR="0040614A" w:rsidRDefault="0040614A">
            <w:pPr>
              <w:jc w:val="center"/>
              <w:rPr>
                <w:sz w:val="22"/>
              </w:rPr>
            </w:pPr>
            <w:r>
              <w:rPr>
                <w:sz w:val="22"/>
              </w:rPr>
              <w:t>71,8</w:t>
            </w:r>
          </w:p>
        </w:tc>
        <w:tc>
          <w:tcPr>
            <w:tcW w:w="725" w:type="dxa"/>
          </w:tcPr>
          <w:p w:rsidR="0040614A" w:rsidRDefault="0040614A">
            <w:pPr>
              <w:jc w:val="center"/>
              <w:rPr>
                <w:sz w:val="22"/>
              </w:rPr>
            </w:pPr>
            <w:r>
              <w:rPr>
                <w:sz w:val="22"/>
              </w:rPr>
              <w:t>72,1</w:t>
            </w:r>
          </w:p>
        </w:tc>
        <w:tc>
          <w:tcPr>
            <w:tcW w:w="882" w:type="dxa"/>
          </w:tcPr>
          <w:p w:rsidR="0040614A" w:rsidRDefault="0040614A">
            <w:pPr>
              <w:jc w:val="center"/>
              <w:rPr>
                <w:sz w:val="22"/>
              </w:rPr>
            </w:pPr>
            <w:r>
              <w:rPr>
                <w:sz w:val="22"/>
              </w:rPr>
              <w:t>59,0</w:t>
            </w:r>
          </w:p>
        </w:tc>
        <w:tc>
          <w:tcPr>
            <w:tcW w:w="709" w:type="dxa"/>
          </w:tcPr>
          <w:p w:rsidR="0040614A" w:rsidRDefault="0040614A">
            <w:pPr>
              <w:jc w:val="center"/>
              <w:rPr>
                <w:sz w:val="22"/>
              </w:rPr>
            </w:pPr>
            <w:r>
              <w:rPr>
                <w:sz w:val="22"/>
              </w:rPr>
              <w:t>50,1</w:t>
            </w:r>
          </w:p>
        </w:tc>
      </w:tr>
      <w:tr w:rsidR="0040614A">
        <w:trPr>
          <w:cantSplit/>
        </w:trPr>
        <w:tc>
          <w:tcPr>
            <w:tcW w:w="3227" w:type="dxa"/>
          </w:tcPr>
          <w:p w:rsidR="0040614A" w:rsidRDefault="0040614A">
            <w:pPr>
              <w:rPr>
                <w:sz w:val="24"/>
              </w:rPr>
            </w:pPr>
            <w:r>
              <w:rPr>
                <w:sz w:val="24"/>
              </w:rPr>
              <w:t>Численность населения с доходами ниже прожиточного минимума, %</w:t>
            </w:r>
          </w:p>
        </w:tc>
        <w:tc>
          <w:tcPr>
            <w:tcW w:w="724" w:type="dxa"/>
          </w:tcPr>
          <w:p w:rsidR="0040614A" w:rsidRDefault="0040614A">
            <w:pPr>
              <w:jc w:val="center"/>
              <w:rPr>
                <w:sz w:val="22"/>
              </w:rPr>
            </w:pPr>
            <w:r>
              <w:rPr>
                <w:sz w:val="22"/>
              </w:rPr>
              <w:t>-</w:t>
            </w:r>
          </w:p>
        </w:tc>
        <w:tc>
          <w:tcPr>
            <w:tcW w:w="724" w:type="dxa"/>
          </w:tcPr>
          <w:p w:rsidR="0040614A" w:rsidRDefault="0040614A">
            <w:pPr>
              <w:jc w:val="center"/>
              <w:rPr>
                <w:sz w:val="22"/>
              </w:rPr>
            </w:pPr>
            <w:r>
              <w:rPr>
                <w:sz w:val="22"/>
              </w:rPr>
              <w:t>33,5</w:t>
            </w:r>
          </w:p>
        </w:tc>
        <w:tc>
          <w:tcPr>
            <w:tcW w:w="725" w:type="dxa"/>
          </w:tcPr>
          <w:p w:rsidR="0040614A" w:rsidRDefault="0040614A">
            <w:pPr>
              <w:jc w:val="center"/>
              <w:rPr>
                <w:sz w:val="22"/>
              </w:rPr>
            </w:pPr>
            <w:r>
              <w:rPr>
                <w:sz w:val="22"/>
              </w:rPr>
              <w:t>31,5</w:t>
            </w:r>
          </w:p>
        </w:tc>
        <w:tc>
          <w:tcPr>
            <w:tcW w:w="724" w:type="dxa"/>
          </w:tcPr>
          <w:p w:rsidR="0040614A" w:rsidRDefault="0040614A">
            <w:pPr>
              <w:jc w:val="center"/>
              <w:rPr>
                <w:sz w:val="22"/>
              </w:rPr>
            </w:pPr>
            <w:r>
              <w:rPr>
                <w:sz w:val="22"/>
              </w:rPr>
              <w:t>22,4</w:t>
            </w:r>
          </w:p>
        </w:tc>
        <w:tc>
          <w:tcPr>
            <w:tcW w:w="725" w:type="dxa"/>
          </w:tcPr>
          <w:p w:rsidR="0040614A" w:rsidRDefault="0040614A">
            <w:pPr>
              <w:jc w:val="center"/>
              <w:rPr>
                <w:sz w:val="22"/>
              </w:rPr>
            </w:pPr>
            <w:r>
              <w:rPr>
                <w:sz w:val="22"/>
              </w:rPr>
              <w:t>24,7</w:t>
            </w:r>
          </w:p>
        </w:tc>
        <w:tc>
          <w:tcPr>
            <w:tcW w:w="724" w:type="dxa"/>
          </w:tcPr>
          <w:p w:rsidR="0040614A" w:rsidRDefault="0040614A">
            <w:pPr>
              <w:jc w:val="center"/>
              <w:rPr>
                <w:sz w:val="22"/>
              </w:rPr>
            </w:pPr>
            <w:r>
              <w:rPr>
                <w:sz w:val="22"/>
              </w:rPr>
              <w:t>22,0</w:t>
            </w:r>
          </w:p>
        </w:tc>
        <w:tc>
          <w:tcPr>
            <w:tcW w:w="725" w:type="dxa"/>
          </w:tcPr>
          <w:p w:rsidR="0040614A" w:rsidRDefault="0040614A">
            <w:pPr>
              <w:jc w:val="center"/>
              <w:rPr>
                <w:sz w:val="22"/>
              </w:rPr>
            </w:pPr>
            <w:r>
              <w:rPr>
                <w:sz w:val="22"/>
              </w:rPr>
              <w:t>20,8</w:t>
            </w:r>
          </w:p>
        </w:tc>
        <w:tc>
          <w:tcPr>
            <w:tcW w:w="882" w:type="dxa"/>
          </w:tcPr>
          <w:p w:rsidR="0040614A" w:rsidRDefault="0040614A">
            <w:pPr>
              <w:jc w:val="center"/>
              <w:rPr>
                <w:sz w:val="22"/>
              </w:rPr>
            </w:pPr>
            <w:r>
              <w:rPr>
                <w:sz w:val="22"/>
              </w:rPr>
              <w:t>23,8</w:t>
            </w:r>
          </w:p>
        </w:tc>
        <w:tc>
          <w:tcPr>
            <w:tcW w:w="709" w:type="dxa"/>
          </w:tcPr>
          <w:p w:rsidR="0040614A" w:rsidRDefault="0040614A">
            <w:pPr>
              <w:jc w:val="center"/>
              <w:rPr>
                <w:sz w:val="22"/>
              </w:rPr>
            </w:pPr>
            <w:r>
              <w:rPr>
                <w:sz w:val="22"/>
              </w:rPr>
              <w:t>29,9</w:t>
            </w:r>
          </w:p>
        </w:tc>
      </w:tr>
      <w:tr w:rsidR="0040614A">
        <w:trPr>
          <w:cantSplit/>
        </w:trPr>
        <w:tc>
          <w:tcPr>
            <w:tcW w:w="3227" w:type="dxa"/>
          </w:tcPr>
          <w:p w:rsidR="0040614A" w:rsidRDefault="0040614A">
            <w:pPr>
              <w:rPr>
                <w:sz w:val="24"/>
              </w:rPr>
            </w:pPr>
            <w:r>
              <w:rPr>
                <w:sz w:val="24"/>
              </w:rPr>
              <w:t>Экономически активное население, млн. чел.</w:t>
            </w:r>
          </w:p>
        </w:tc>
        <w:tc>
          <w:tcPr>
            <w:tcW w:w="724" w:type="dxa"/>
          </w:tcPr>
          <w:p w:rsidR="0040614A" w:rsidRDefault="0040614A">
            <w:pPr>
              <w:jc w:val="center"/>
              <w:rPr>
                <w:sz w:val="22"/>
              </w:rPr>
            </w:pPr>
            <w:r>
              <w:rPr>
                <w:sz w:val="22"/>
              </w:rPr>
              <w:t>-</w:t>
            </w:r>
          </w:p>
        </w:tc>
        <w:tc>
          <w:tcPr>
            <w:tcW w:w="724" w:type="dxa"/>
          </w:tcPr>
          <w:p w:rsidR="0040614A" w:rsidRDefault="0040614A">
            <w:pPr>
              <w:jc w:val="center"/>
              <w:rPr>
                <w:sz w:val="22"/>
              </w:rPr>
            </w:pPr>
            <w:r>
              <w:rPr>
                <w:sz w:val="22"/>
              </w:rPr>
              <w:t>74,9</w:t>
            </w:r>
          </w:p>
        </w:tc>
        <w:tc>
          <w:tcPr>
            <w:tcW w:w="725" w:type="dxa"/>
          </w:tcPr>
          <w:p w:rsidR="0040614A" w:rsidRDefault="0040614A">
            <w:pPr>
              <w:jc w:val="center"/>
              <w:rPr>
                <w:sz w:val="22"/>
              </w:rPr>
            </w:pPr>
            <w:r>
              <w:rPr>
                <w:sz w:val="22"/>
              </w:rPr>
              <w:t>74,1</w:t>
            </w:r>
          </w:p>
        </w:tc>
        <w:tc>
          <w:tcPr>
            <w:tcW w:w="724" w:type="dxa"/>
          </w:tcPr>
          <w:p w:rsidR="0040614A" w:rsidRDefault="0040614A">
            <w:pPr>
              <w:jc w:val="center"/>
              <w:rPr>
                <w:sz w:val="22"/>
              </w:rPr>
            </w:pPr>
            <w:r>
              <w:rPr>
                <w:sz w:val="22"/>
              </w:rPr>
              <w:t>72,9</w:t>
            </w:r>
          </w:p>
        </w:tc>
        <w:tc>
          <w:tcPr>
            <w:tcW w:w="725" w:type="dxa"/>
          </w:tcPr>
          <w:p w:rsidR="0040614A" w:rsidRDefault="0040614A">
            <w:pPr>
              <w:jc w:val="center"/>
              <w:rPr>
                <w:sz w:val="22"/>
              </w:rPr>
            </w:pPr>
            <w:r>
              <w:rPr>
                <w:sz w:val="22"/>
              </w:rPr>
              <w:t>72,6</w:t>
            </w:r>
          </w:p>
        </w:tc>
        <w:tc>
          <w:tcPr>
            <w:tcW w:w="724" w:type="dxa"/>
          </w:tcPr>
          <w:p w:rsidR="0040614A" w:rsidRDefault="0040614A">
            <w:pPr>
              <w:jc w:val="center"/>
              <w:rPr>
                <w:sz w:val="22"/>
              </w:rPr>
            </w:pPr>
            <w:r>
              <w:rPr>
                <w:sz w:val="22"/>
              </w:rPr>
              <w:t>72,7</w:t>
            </w:r>
          </w:p>
        </w:tc>
        <w:tc>
          <w:tcPr>
            <w:tcW w:w="725" w:type="dxa"/>
          </w:tcPr>
          <w:p w:rsidR="0040614A" w:rsidRDefault="0040614A">
            <w:pPr>
              <w:jc w:val="center"/>
              <w:rPr>
                <w:sz w:val="22"/>
              </w:rPr>
            </w:pPr>
            <w:r>
              <w:rPr>
                <w:sz w:val="22"/>
              </w:rPr>
              <w:t>68,1</w:t>
            </w:r>
          </w:p>
        </w:tc>
        <w:tc>
          <w:tcPr>
            <w:tcW w:w="882" w:type="dxa"/>
          </w:tcPr>
          <w:p w:rsidR="0040614A" w:rsidRDefault="0040614A">
            <w:pPr>
              <w:jc w:val="center"/>
              <w:rPr>
                <w:sz w:val="22"/>
              </w:rPr>
            </w:pPr>
            <w:r>
              <w:rPr>
                <w:sz w:val="22"/>
              </w:rPr>
              <w:t>66,7</w:t>
            </w:r>
          </w:p>
        </w:tc>
        <w:tc>
          <w:tcPr>
            <w:tcW w:w="709" w:type="dxa"/>
          </w:tcPr>
          <w:p w:rsidR="0040614A" w:rsidRDefault="0040614A">
            <w:pPr>
              <w:jc w:val="center"/>
              <w:rPr>
                <w:sz w:val="22"/>
              </w:rPr>
            </w:pPr>
            <w:r>
              <w:rPr>
                <w:sz w:val="22"/>
              </w:rPr>
              <w:t>73,0</w:t>
            </w:r>
          </w:p>
        </w:tc>
      </w:tr>
      <w:tr w:rsidR="0040614A">
        <w:trPr>
          <w:cantSplit/>
        </w:trPr>
        <w:tc>
          <w:tcPr>
            <w:tcW w:w="3227" w:type="dxa"/>
          </w:tcPr>
          <w:p w:rsidR="0040614A" w:rsidRDefault="0040614A">
            <w:pPr>
              <w:rPr>
                <w:sz w:val="24"/>
              </w:rPr>
            </w:pPr>
            <w:r>
              <w:rPr>
                <w:sz w:val="24"/>
              </w:rPr>
              <w:t>Число безработных млн. чел. (по методике МОТ)</w:t>
            </w:r>
          </w:p>
        </w:tc>
        <w:tc>
          <w:tcPr>
            <w:tcW w:w="724" w:type="dxa"/>
          </w:tcPr>
          <w:p w:rsidR="0040614A" w:rsidRDefault="0040614A">
            <w:pPr>
              <w:jc w:val="center"/>
              <w:rPr>
                <w:sz w:val="22"/>
              </w:rPr>
            </w:pPr>
            <w:r>
              <w:rPr>
                <w:sz w:val="22"/>
              </w:rPr>
              <w:t>-</w:t>
            </w:r>
          </w:p>
        </w:tc>
        <w:tc>
          <w:tcPr>
            <w:tcW w:w="724" w:type="dxa"/>
          </w:tcPr>
          <w:p w:rsidR="0040614A" w:rsidRDefault="0040614A">
            <w:pPr>
              <w:jc w:val="center"/>
              <w:rPr>
                <w:sz w:val="22"/>
              </w:rPr>
            </w:pPr>
            <w:r>
              <w:rPr>
                <w:sz w:val="22"/>
              </w:rPr>
              <w:t>3,6</w:t>
            </w:r>
          </w:p>
        </w:tc>
        <w:tc>
          <w:tcPr>
            <w:tcW w:w="725" w:type="dxa"/>
          </w:tcPr>
          <w:p w:rsidR="0040614A" w:rsidRDefault="0040614A">
            <w:pPr>
              <w:jc w:val="center"/>
              <w:rPr>
                <w:sz w:val="22"/>
              </w:rPr>
            </w:pPr>
            <w:r>
              <w:rPr>
                <w:sz w:val="22"/>
              </w:rPr>
              <w:t>4,2</w:t>
            </w:r>
          </w:p>
        </w:tc>
        <w:tc>
          <w:tcPr>
            <w:tcW w:w="724" w:type="dxa"/>
          </w:tcPr>
          <w:p w:rsidR="0040614A" w:rsidRDefault="0040614A">
            <w:pPr>
              <w:jc w:val="center"/>
              <w:rPr>
                <w:sz w:val="22"/>
              </w:rPr>
            </w:pPr>
            <w:r>
              <w:rPr>
                <w:sz w:val="22"/>
              </w:rPr>
              <w:t>5,5</w:t>
            </w:r>
          </w:p>
        </w:tc>
        <w:tc>
          <w:tcPr>
            <w:tcW w:w="725" w:type="dxa"/>
          </w:tcPr>
          <w:p w:rsidR="0040614A" w:rsidRDefault="0040614A">
            <w:pPr>
              <w:jc w:val="center"/>
              <w:rPr>
                <w:sz w:val="22"/>
              </w:rPr>
            </w:pPr>
            <w:r>
              <w:rPr>
                <w:sz w:val="22"/>
              </w:rPr>
              <w:t>6,4</w:t>
            </w:r>
          </w:p>
        </w:tc>
        <w:tc>
          <w:tcPr>
            <w:tcW w:w="724" w:type="dxa"/>
          </w:tcPr>
          <w:p w:rsidR="0040614A" w:rsidRDefault="0040614A">
            <w:pPr>
              <w:jc w:val="center"/>
              <w:rPr>
                <w:sz w:val="22"/>
              </w:rPr>
            </w:pPr>
            <w:r>
              <w:rPr>
                <w:sz w:val="22"/>
              </w:rPr>
              <w:t>6,8</w:t>
            </w:r>
          </w:p>
        </w:tc>
        <w:tc>
          <w:tcPr>
            <w:tcW w:w="725" w:type="dxa"/>
          </w:tcPr>
          <w:p w:rsidR="0040614A" w:rsidRDefault="0040614A">
            <w:pPr>
              <w:jc w:val="center"/>
              <w:rPr>
                <w:sz w:val="22"/>
              </w:rPr>
            </w:pPr>
            <w:r>
              <w:rPr>
                <w:sz w:val="22"/>
              </w:rPr>
              <w:t>8,1</w:t>
            </w:r>
          </w:p>
        </w:tc>
        <w:tc>
          <w:tcPr>
            <w:tcW w:w="882" w:type="dxa"/>
          </w:tcPr>
          <w:p w:rsidR="0040614A" w:rsidRDefault="0040614A">
            <w:pPr>
              <w:jc w:val="center"/>
              <w:rPr>
                <w:sz w:val="22"/>
              </w:rPr>
            </w:pPr>
            <w:r>
              <w:rPr>
                <w:sz w:val="22"/>
              </w:rPr>
              <w:t>8,9</w:t>
            </w:r>
          </w:p>
        </w:tc>
        <w:tc>
          <w:tcPr>
            <w:tcW w:w="709" w:type="dxa"/>
          </w:tcPr>
          <w:p w:rsidR="0040614A" w:rsidRDefault="0040614A">
            <w:pPr>
              <w:jc w:val="center"/>
              <w:rPr>
                <w:sz w:val="22"/>
              </w:rPr>
            </w:pPr>
            <w:r>
              <w:rPr>
                <w:sz w:val="22"/>
              </w:rPr>
              <w:t>9,2</w:t>
            </w:r>
          </w:p>
        </w:tc>
      </w:tr>
      <w:tr w:rsidR="0040614A">
        <w:trPr>
          <w:cantSplit/>
        </w:trPr>
        <w:tc>
          <w:tcPr>
            <w:tcW w:w="3227" w:type="dxa"/>
          </w:tcPr>
          <w:p w:rsidR="0040614A" w:rsidRDefault="0040614A">
            <w:pPr>
              <w:rPr>
                <w:sz w:val="24"/>
              </w:rPr>
            </w:pPr>
            <w:r>
              <w:rPr>
                <w:sz w:val="24"/>
              </w:rPr>
              <w:t>Индекс общей инфляции к 1990 г., раз</w:t>
            </w:r>
          </w:p>
        </w:tc>
        <w:tc>
          <w:tcPr>
            <w:tcW w:w="724" w:type="dxa"/>
          </w:tcPr>
          <w:p w:rsidR="0040614A" w:rsidRDefault="0040614A">
            <w:pPr>
              <w:jc w:val="center"/>
              <w:rPr>
                <w:sz w:val="22"/>
              </w:rPr>
            </w:pPr>
            <w:r>
              <w:rPr>
                <w:sz w:val="22"/>
              </w:rPr>
              <w:t>2,52</w:t>
            </w:r>
          </w:p>
        </w:tc>
        <w:tc>
          <w:tcPr>
            <w:tcW w:w="724" w:type="dxa"/>
          </w:tcPr>
          <w:p w:rsidR="0040614A" w:rsidRDefault="0040614A">
            <w:pPr>
              <w:jc w:val="center"/>
              <w:rPr>
                <w:sz w:val="22"/>
              </w:rPr>
            </w:pPr>
            <w:r>
              <w:rPr>
                <w:sz w:val="22"/>
              </w:rPr>
              <w:t>65,7</w:t>
            </w:r>
          </w:p>
        </w:tc>
        <w:tc>
          <w:tcPr>
            <w:tcW w:w="725" w:type="dxa"/>
          </w:tcPr>
          <w:p w:rsidR="0040614A" w:rsidRDefault="0040614A">
            <w:pPr>
              <w:jc w:val="center"/>
              <w:rPr>
                <w:sz w:val="22"/>
              </w:rPr>
            </w:pPr>
            <w:r>
              <w:rPr>
                <w:sz w:val="22"/>
              </w:rPr>
              <w:t>618</w:t>
            </w:r>
          </w:p>
        </w:tc>
        <w:tc>
          <w:tcPr>
            <w:tcW w:w="724" w:type="dxa"/>
          </w:tcPr>
          <w:p w:rsidR="0040614A" w:rsidRDefault="0040614A">
            <w:pPr>
              <w:jc w:val="center"/>
              <w:rPr>
                <w:sz w:val="22"/>
              </w:rPr>
            </w:pPr>
            <w:r>
              <w:rPr>
                <w:sz w:val="22"/>
              </w:rPr>
              <w:t>2349</w:t>
            </w:r>
          </w:p>
        </w:tc>
        <w:tc>
          <w:tcPr>
            <w:tcW w:w="725" w:type="dxa"/>
          </w:tcPr>
          <w:p w:rsidR="0040614A" w:rsidRDefault="0040614A">
            <w:pPr>
              <w:jc w:val="center"/>
              <w:rPr>
                <w:sz w:val="22"/>
              </w:rPr>
            </w:pPr>
            <w:r>
              <w:rPr>
                <w:sz w:val="22"/>
              </w:rPr>
              <w:t>5544</w:t>
            </w:r>
          </w:p>
        </w:tc>
        <w:tc>
          <w:tcPr>
            <w:tcW w:w="724" w:type="dxa"/>
          </w:tcPr>
          <w:p w:rsidR="0040614A" w:rsidRDefault="0040614A">
            <w:pPr>
              <w:jc w:val="center"/>
              <w:rPr>
                <w:sz w:val="22"/>
              </w:rPr>
            </w:pPr>
            <w:r>
              <w:rPr>
                <w:sz w:val="22"/>
              </w:rPr>
              <w:t>6764</w:t>
            </w:r>
          </w:p>
        </w:tc>
        <w:tc>
          <w:tcPr>
            <w:tcW w:w="725" w:type="dxa"/>
          </w:tcPr>
          <w:p w:rsidR="0040614A" w:rsidRDefault="0040614A">
            <w:pPr>
              <w:jc w:val="center"/>
              <w:rPr>
                <w:sz w:val="22"/>
              </w:rPr>
            </w:pPr>
            <w:r>
              <w:rPr>
                <w:sz w:val="22"/>
              </w:rPr>
              <w:t>7440</w:t>
            </w:r>
          </w:p>
        </w:tc>
        <w:tc>
          <w:tcPr>
            <w:tcW w:w="882" w:type="dxa"/>
          </w:tcPr>
          <w:p w:rsidR="0040614A" w:rsidRDefault="0040614A">
            <w:pPr>
              <w:jc w:val="center"/>
              <w:rPr>
                <w:sz w:val="22"/>
              </w:rPr>
            </w:pPr>
            <w:r>
              <w:rPr>
                <w:sz w:val="22"/>
              </w:rPr>
              <w:t>13393</w:t>
            </w:r>
          </w:p>
        </w:tc>
        <w:tc>
          <w:tcPr>
            <w:tcW w:w="709" w:type="dxa"/>
          </w:tcPr>
          <w:p w:rsidR="0040614A" w:rsidRDefault="0040614A">
            <w:pPr>
              <w:jc w:val="center"/>
              <w:rPr>
                <w:sz w:val="22"/>
              </w:rPr>
            </w:pPr>
            <w:r>
              <w:rPr>
                <w:sz w:val="22"/>
              </w:rPr>
              <w:t>-</w:t>
            </w:r>
          </w:p>
        </w:tc>
      </w:tr>
    </w:tbl>
    <w:p w:rsidR="0040614A" w:rsidRDefault="0040614A">
      <w:pPr>
        <w:rPr>
          <w:i/>
        </w:rPr>
      </w:pPr>
      <w:r>
        <w:rPr>
          <w:i/>
        </w:rPr>
        <w:t>Источник статистических данных за период 1991-1998г.: Российский статистический ежегодник. Госкомстат России. Официальное издание. М.: 199 г.</w:t>
      </w:r>
    </w:p>
    <w:p w:rsidR="0040614A" w:rsidRDefault="0040614A">
      <w:pPr>
        <w:rPr>
          <w:i/>
        </w:rPr>
      </w:pPr>
      <w:r>
        <w:rPr>
          <w:i/>
        </w:rPr>
        <w:t>Источник статистических данных за 1999 г.:Социально-экономическое положение России 1999</w:t>
      </w:r>
      <w:r>
        <w:rPr>
          <w:i/>
          <w:lang w:val="en-US"/>
        </w:rPr>
        <w:t>/</w:t>
      </w:r>
      <w:r>
        <w:rPr>
          <w:i/>
        </w:rPr>
        <w:t xml:space="preserve"> Госкомстат РФ. М.: Б.и. 2000 № 12. 370 с.</w:t>
      </w: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r>
        <w:rPr>
          <w:sz w:val="24"/>
        </w:rPr>
        <w:tab/>
        <w:t xml:space="preserve">Начало 1990 – х гг. характеризовалось высокой инфляцией и большими отрицательными реальными ставками процента за кредит и депозит. В 1998 г. индекс инфляции к 1990 г. составил 13393 раз. Это позволило перекачать средства населения в распоряжение государства и коммерческих структур. Огромные потери этих денежных потоков (до 25 % ВВП) позволили создать гигантские личные состояния, не занимаясь развитием хозяйства </w:t>
      </w:r>
      <w:r>
        <w:rPr>
          <w:sz w:val="24"/>
          <w:lang w:val="en-US"/>
        </w:rPr>
        <w:t>{14}</w:t>
      </w:r>
      <w:r>
        <w:rPr>
          <w:sz w:val="24"/>
        </w:rPr>
        <w:t>.</w:t>
      </w:r>
    </w:p>
    <w:p w:rsidR="0040614A" w:rsidRDefault="0040614A">
      <w:pPr>
        <w:rPr>
          <w:sz w:val="24"/>
        </w:rPr>
      </w:pPr>
      <w:r>
        <w:rPr>
          <w:sz w:val="24"/>
        </w:rPr>
        <w:tab/>
        <w:t xml:space="preserve">ВВП к 1990 г. в сопоставлении с 1999 г. составил 56.1 %, продукция промышленности – 50.1 5, инвестиции в основной капитал – 22.5 %, реальные денежные доходы населения – 50.1 %, продукция с/х – 58.0 %. Россия оказалась единственной  в мире страной, где в течение многих лет реальные ставки депозитного процента оставались отрицательными. Невозможность для населения вкладывать деньги в зарубежные банки, дающие положительный депозитный процент и высокую гарантию возврата средств, ведут к тому, что идет постоянный процесс обесценивания вкладов, может быть, с меньшей интенсивностью. Появление подобных способов обогащения отодвинуло на задний план полезную экономическую деятельность. Вследствие этого произошло не только катастрофическое сокращение объемов производства, но и резкое снижение его эффективности. </w:t>
      </w:r>
    </w:p>
    <w:p w:rsidR="0040614A" w:rsidRDefault="0040614A">
      <w:pPr>
        <w:rPr>
          <w:sz w:val="24"/>
        </w:rPr>
      </w:pPr>
      <w:r>
        <w:rPr>
          <w:sz w:val="24"/>
        </w:rPr>
        <w:tab/>
        <w:t xml:space="preserve">Основным следствием частых непредсказуемых и хаотичных изменений правил, импульсивных действий руководства страны стала невозможность предвидеть коньюктурные изменения в экономике, уровень инфляции, ценовые пропорции, процентные ставки и т.п. Представляется, что именно этот фактор хозяйственного мероприятия, особенно расчитанного на более или менее отдаленное будущее, оказывает сильное влияние на сокращение инвестиционной деятельности, вплоть до полного отказа от нее. </w:t>
      </w:r>
      <w:r>
        <w:rPr>
          <w:sz w:val="24"/>
          <w:lang w:val="en-US"/>
        </w:rPr>
        <w:t>{15, c. 6}</w:t>
      </w:r>
      <w:r>
        <w:rPr>
          <w:sz w:val="24"/>
        </w:rPr>
        <w:t>.</w:t>
      </w:r>
    </w:p>
    <w:p w:rsidR="0040614A" w:rsidRDefault="0040614A">
      <w:pPr>
        <w:rPr>
          <w:sz w:val="24"/>
        </w:rPr>
      </w:pPr>
      <w:r>
        <w:rPr>
          <w:sz w:val="24"/>
        </w:rPr>
        <w:tab/>
        <w:t xml:space="preserve">Изменения в политике государства (1995-1996 гг.), по существу, превратило его в крупнейшего финансового спекулянта, что недопустимо в цивилизованном обществе. Располагая колоссальными денежными средствами ( до 40 % ВВП), оно в погоне за собственными доходами может загубить любой общественно полезный экономический процесс </w:t>
      </w:r>
      <w:r>
        <w:rPr>
          <w:sz w:val="24"/>
          <w:lang w:val="en-US"/>
        </w:rPr>
        <w:t>{15, c. 8}</w:t>
      </w:r>
      <w:r>
        <w:rPr>
          <w:sz w:val="24"/>
        </w:rPr>
        <w:t>.</w:t>
      </w:r>
    </w:p>
    <w:p w:rsidR="0040614A" w:rsidRDefault="0040614A">
      <w:pPr>
        <w:rPr>
          <w:sz w:val="24"/>
        </w:rPr>
      </w:pPr>
      <w:r>
        <w:rPr>
          <w:sz w:val="24"/>
        </w:rPr>
        <w:tab/>
        <w:t xml:space="preserve">Высокая ценность рубля по отношению к доллару в советский период  в сочетании с последующим, в начале 90-х гг. раскручиванием галопирующей инфляции способствовали резкому занижению стоимости приватизированного имущества. В этих условиях типичным явлением стали такие парадоксы, как то, что, например. ЗИЛ, стоивший 4.0 млрд. долл., был продан государством всего за 4.5 млн. долл. </w:t>
      </w:r>
    </w:p>
    <w:p w:rsidR="0040614A" w:rsidRDefault="0040614A">
      <w:pPr>
        <w:rPr>
          <w:sz w:val="24"/>
        </w:rPr>
      </w:pPr>
      <w:r>
        <w:rPr>
          <w:sz w:val="24"/>
        </w:rPr>
        <w:tab/>
        <w:t xml:space="preserve">Еще в начале 90-х гг. многие видные отечественные и зарубежные экономисты, в том числе В. Леонтьев, К. Эрроу, Л. Клейн и др., предупреждали, что для российской экономики нужны другие, более «сложные» способы перехода к рынку </w:t>
      </w:r>
      <w:r>
        <w:rPr>
          <w:sz w:val="24"/>
          <w:lang w:val="en-US"/>
        </w:rPr>
        <w:t>{10}</w:t>
      </w:r>
      <w:r>
        <w:rPr>
          <w:sz w:val="24"/>
        </w:rPr>
        <w:t xml:space="preserve">. Они обуславливали это спецификой страны и начальными ее условиями: гипертрафированной структурой сверхмонополизированного производства, менталитетом населения, чрезмерно высоким уровнем ВПК и др. </w:t>
      </w:r>
      <w:r>
        <w:rPr>
          <w:sz w:val="24"/>
          <w:lang w:val="en-US"/>
        </w:rPr>
        <w:t>{26, c. 30}</w:t>
      </w:r>
      <w:r>
        <w:rPr>
          <w:sz w:val="24"/>
        </w:rPr>
        <w:t>.</w:t>
      </w:r>
    </w:p>
    <w:p w:rsidR="0040614A" w:rsidRDefault="0040614A">
      <w:pPr>
        <w:rPr>
          <w:sz w:val="24"/>
        </w:rPr>
      </w:pPr>
      <w:r>
        <w:rPr>
          <w:sz w:val="24"/>
        </w:rPr>
        <w:tab/>
        <w:t xml:space="preserve">По мнению Барда В. С. </w:t>
      </w:r>
      <w:r>
        <w:rPr>
          <w:sz w:val="24"/>
          <w:lang w:val="en-US"/>
        </w:rPr>
        <w:t>{12, c. 100}</w:t>
      </w:r>
      <w:r>
        <w:rPr>
          <w:sz w:val="24"/>
        </w:rPr>
        <w:t>, значительное сокращение объемов производства и его оценка в стране во многом связаны с попыткой интегрировать экономику России в мировой рынок сверхфорсированными темпами.</w:t>
      </w:r>
    </w:p>
    <w:p w:rsidR="0040614A" w:rsidRDefault="0040614A">
      <w:pPr>
        <w:rPr>
          <w:sz w:val="24"/>
        </w:rPr>
      </w:pPr>
      <w:r>
        <w:rPr>
          <w:sz w:val="24"/>
        </w:rPr>
        <w:tab/>
        <w:t>Падение объемов производства и замораживание инвестиционной активности объясняется комплексом причин, возникновением особого механизма развертывания экономического кризиса. Если последовательно проследить по различным параметрам и учесь двойственное воздействие мирового рынка на российскую экономику, то финансовая оценка ее реального развития оказывается достаточно противоречивой. На этом фоне нетрудно было предсказать ситуацию августа 1998 г. После этого события в России наступила новая ситуация.</w:t>
      </w:r>
    </w:p>
    <w:p w:rsidR="0040614A" w:rsidRDefault="0040614A">
      <w:pPr>
        <w:rPr>
          <w:sz w:val="24"/>
        </w:rPr>
      </w:pPr>
      <w:r>
        <w:rPr>
          <w:sz w:val="24"/>
        </w:rPr>
        <w:tab/>
        <w:t>Проблемы экономики страны в равной степени относятся к региону «Приангарье». Условия деятельности и развития Иркутской области определяются, с одной стороны, заданными макроэкономическими тенденциями, а с другой – региональными особенностями ее экономики. Ситуация в области к началу 90-х гг. характеризовалась наличием мощного промышленного потенциала и крупнейшей топливно-энергетической базы, а также преимущественно сырьевым профилем экономики. Федеральный статус основных (базовых) предприятий и инерционность в реструктуризации экономики, зависимость финансово-экономической ситуации в регионе от решений, принимаемых в центре, и от коньюктуры мирового рынка, создали особую экономическую ситуацию. Область по величине промышленного потенциала входила в 20 наиболее мощных в индустриальном отношении регионов России. Низкие тарифы на электроэнергию позволяли обеспечить довольно стабильную работу энергоемкой промышленности и высокую конкурентоспособность продукции  этих отраслей.</w:t>
      </w:r>
    </w:p>
    <w:p w:rsidR="0040614A" w:rsidRDefault="0040614A">
      <w:pPr>
        <w:rPr>
          <w:sz w:val="24"/>
        </w:rPr>
      </w:pPr>
      <w:r>
        <w:rPr>
          <w:sz w:val="24"/>
        </w:rPr>
        <w:tab/>
        <w:t>Иркутская область входит  в число регионов с высокой долей экспорта. В лучшие годы (один из них – 1997) экспортные поставки основных товаров достигали: по алюминию – 90 %, целлюлозе – 84, смоле ПВХ – 62, пиломатериалам – 44, лесоматериалам круглым – 10. Мазуту – 29, от объемов производства. Продукция экспортировалась более чем в 70 стран.</w:t>
      </w:r>
    </w:p>
    <w:p w:rsidR="0040614A" w:rsidRDefault="0040614A">
      <w:pPr>
        <w:rPr>
          <w:sz w:val="24"/>
        </w:rPr>
      </w:pPr>
      <w:r>
        <w:rPr>
          <w:sz w:val="24"/>
        </w:rPr>
        <w:tab/>
        <w:t>В целом по промышленности за период  с 1990 по 1998 г. наблюдался ежегодный спад производства. Основные факторы падения производства в отраслях обрабатывающей промышленности: рост цен на сырьевые ресурсы, электроэнергию, транспорт; неплатежи; инвестиционные ограничения. В этой ситуации стала очевидной неэффективность выпуска прогрессивных видов продукции в результате изменения структуры издержек и источников покрытия.</w:t>
      </w:r>
    </w:p>
    <w:p w:rsidR="0040614A" w:rsidRDefault="0040614A">
      <w:pPr>
        <w:rPr>
          <w:sz w:val="24"/>
        </w:rPr>
      </w:pPr>
      <w:r>
        <w:rPr>
          <w:sz w:val="24"/>
        </w:rPr>
        <w:tab/>
        <w:t>Главная трудность экономических преобразований в нынешних условиях заключается в ограниченных возможностях внутренних государственных накоплений и неспособности частных инвесторов в полной мере компенсировать нехватку капиталовложений для преодоления экономического спада. Высокая инфляция обусловила норму процента, намного превыщающую потенциальную рентабельность большинства производственных проектов. Это делает недоступными долгосрочные кредиты. Вложения в реальный сектор из-за высокого риска непривлекательны для банковского капитала, отечественных и иностранных инвесторов.</w:t>
      </w:r>
    </w:p>
    <w:p w:rsidR="0040614A" w:rsidRDefault="0040614A">
      <w:pPr>
        <w:rPr>
          <w:sz w:val="24"/>
        </w:rPr>
      </w:pPr>
      <w:r>
        <w:rPr>
          <w:sz w:val="24"/>
        </w:rPr>
        <w:tab/>
        <w:t>Без активизации инвестиционной деятельности невозможен подъем промышленного и сельскохозяйственного производства, экономики в целом. В этой сфере спад проявляется особенно остро. Если в 1991-1998 гг. объемы валового продукта и промышленного производства , уровень жизни народа и т.д. упали примерно вдвое, то инвестиции в основной капитал сократился в четыре раза, а реальное производство – почти в шесть. В 1993-1998 гг. иностранные капиталовложения в экономику России составили примерно 3% всех инвестиций. Число созданных в стране предприятий с иностранными инвестициями измерялось многими тысячами. Но абсолютное их большинство располагало незначительными средствами – в среднем на одно предприятие несколько тысяч долларов. Они были заняты в сфере нематериального производства: посреднические операции, торговля, маркетинг.</w:t>
      </w:r>
    </w:p>
    <w:p w:rsidR="0040614A" w:rsidRDefault="0040614A">
      <w:pPr>
        <w:rPr>
          <w:sz w:val="24"/>
        </w:rPr>
      </w:pPr>
    </w:p>
    <w:p w:rsidR="0040614A" w:rsidRDefault="0040614A">
      <w:pPr>
        <w:rPr>
          <w:sz w:val="24"/>
        </w:rPr>
      </w:pPr>
    </w:p>
    <w:p w:rsidR="0040614A" w:rsidRDefault="0040614A">
      <w:pPr>
        <w:pStyle w:val="a6"/>
        <w:spacing w:line="240" w:lineRule="auto"/>
        <w:ind w:firstLine="0"/>
        <w:jc w:val="left"/>
      </w:pPr>
      <w:r>
        <w:rPr>
          <w:b/>
        </w:rPr>
        <w:t>2.1. Инвестиции в реальный сектор экономики</w:t>
      </w:r>
    </w:p>
    <w:p w:rsidR="0040614A" w:rsidRDefault="0040614A">
      <w:pPr>
        <w:pStyle w:val="a6"/>
        <w:spacing w:line="240" w:lineRule="auto"/>
        <w:ind w:firstLine="720"/>
        <w:rPr>
          <w:i w:val="0"/>
        </w:rPr>
      </w:pPr>
      <w:r>
        <w:rPr>
          <w:i w:val="0"/>
        </w:rPr>
        <w:t>В 1999 году впервые за последние восемь лет динамика инвестиций в основной капитал имела положительную направленность. Если в течение первой половины 1999 года имела место тенденция замедления спада инвестиционной активности, то с июля наблюдается выход на траекторию роста инвестиций в основной капитал. В 1999 году организации и предприятия всех форм собственности инвестировали в основной капитал 598,7 млрд. руб., что на 1,0% превышает уровень предыдущего года. В 1999 году впервые за годы реформ отмечается рост производства в отраслях инвестиционного комплекса.</w:t>
      </w:r>
    </w:p>
    <w:p w:rsidR="0040614A" w:rsidRDefault="0040614A">
      <w:pPr>
        <w:pStyle w:val="a6"/>
        <w:spacing w:line="240" w:lineRule="auto"/>
        <w:ind w:firstLine="0"/>
        <w:rPr>
          <w:b/>
          <w:i w:val="0"/>
        </w:rPr>
      </w:pPr>
    </w:p>
    <w:p w:rsidR="0040614A" w:rsidRDefault="0040614A">
      <w:pPr>
        <w:pStyle w:val="a6"/>
        <w:spacing w:line="240" w:lineRule="auto"/>
        <w:ind w:firstLine="720"/>
        <w:jc w:val="right"/>
        <w:rPr>
          <w:b/>
          <w:i w:val="0"/>
        </w:rPr>
      </w:pPr>
    </w:p>
    <w:p w:rsidR="0040614A" w:rsidRDefault="0040614A">
      <w:pPr>
        <w:pStyle w:val="a6"/>
        <w:spacing w:line="240" w:lineRule="auto"/>
        <w:ind w:firstLine="720"/>
        <w:jc w:val="right"/>
        <w:rPr>
          <w:b/>
          <w:i w:val="0"/>
        </w:rPr>
      </w:pPr>
    </w:p>
    <w:p w:rsidR="0040614A" w:rsidRDefault="0040614A">
      <w:pPr>
        <w:pStyle w:val="a6"/>
        <w:spacing w:line="240" w:lineRule="auto"/>
        <w:ind w:firstLine="0"/>
        <w:rPr>
          <w:b/>
          <w:i w:val="0"/>
        </w:rPr>
      </w:pPr>
    </w:p>
    <w:p w:rsidR="0040614A" w:rsidRDefault="0040614A">
      <w:pPr>
        <w:pStyle w:val="a6"/>
        <w:spacing w:line="240" w:lineRule="auto"/>
        <w:ind w:firstLine="720"/>
        <w:jc w:val="right"/>
        <w:rPr>
          <w:b/>
          <w:i w:val="0"/>
        </w:rPr>
      </w:pPr>
      <w:r>
        <w:rPr>
          <w:b/>
          <w:i w:val="0"/>
        </w:rPr>
        <w:t>Рис.15.</w:t>
      </w:r>
    </w:p>
    <w:p w:rsidR="0040614A" w:rsidRDefault="004E7EF7">
      <w:pPr>
        <w:jc w:val="both"/>
        <w:rPr>
          <w:i/>
        </w:rPr>
      </w:pPr>
      <w:r>
        <w:rPr>
          <w: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273.75pt" fillcolor="window">
            <v:imagedata r:id="rId7" o:title=""/>
          </v:shape>
        </w:pict>
      </w:r>
    </w:p>
    <w:p w:rsidR="0040614A" w:rsidRDefault="0040614A">
      <w:pPr>
        <w:pStyle w:val="30"/>
        <w:spacing w:line="240" w:lineRule="auto"/>
        <w:ind w:left="0" w:firstLine="851"/>
        <w:rPr>
          <w:i w:val="0"/>
        </w:rPr>
      </w:pPr>
    </w:p>
    <w:p w:rsidR="0040614A" w:rsidRDefault="0040614A">
      <w:pPr>
        <w:pStyle w:val="30"/>
        <w:spacing w:line="240" w:lineRule="auto"/>
        <w:ind w:left="0" w:firstLine="851"/>
        <w:rPr>
          <w:i w:val="0"/>
        </w:rPr>
      </w:pPr>
      <w:r>
        <w:rPr>
          <w:i w:val="0"/>
        </w:rPr>
        <w:t xml:space="preserve">Инвестиции в жилищное и коммунальное строительство составили примерно 1/3 от общего объема инвестиций в социально-гражданское строительство. В 1999 году после пятилетнего перерыва отмечен прирост инвестиций в жилищное строительство и восстановление положительной динамики ввода жилой площади. В 1999 года предприятиями и организациями всех форм собственности построено 32,0 млн. кв. метров жилой площади, что на 4,3% превышает уровень предыдущего года. В  63 субъектах Федерации объемы построенного жилья превысили уровень 1998 года. Поддержание деловой активности в жилищном строительстве связано как с продолжением ранее начатых строек, так и с расширением объемов работ. </w:t>
      </w:r>
    </w:p>
    <w:p w:rsidR="0040614A" w:rsidRDefault="0040614A">
      <w:pPr>
        <w:pStyle w:val="21"/>
        <w:spacing w:line="240" w:lineRule="auto"/>
        <w:ind w:firstLine="851"/>
      </w:pPr>
      <w:r>
        <w:t>Оценивая влияния инвестиционного процесса на состояние экономики необходимо учитывать специфические особенности этого процесса на всем периоде радикальных преобразований. Отличительной чертой российских реформ является беспрецедентное по масштабам свертывание инвестиционной деятельности. В 1999 году инвестиции в основной капитал составляли только 26,3% от уровня предреформенного 1991 года. В то же время, инвестиционный спад в период 1992-1999 года носил структурный характер и определялся совокупным воздействием факторов изменения отраслевых, технологических и воспроизводственных сдвигов в национальной экономике.</w:t>
      </w: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rPr>
          <w:b/>
        </w:rPr>
      </w:pPr>
    </w:p>
    <w:p w:rsidR="0040614A" w:rsidRDefault="0040614A">
      <w:pPr>
        <w:pStyle w:val="21"/>
        <w:spacing w:line="240" w:lineRule="auto"/>
        <w:ind w:firstLine="851"/>
        <w:jc w:val="right"/>
      </w:pPr>
      <w:r>
        <w:rPr>
          <w:b/>
        </w:rPr>
        <w:t>Рис. 16</w:t>
      </w:r>
      <w:r>
        <w:t>.</w:t>
      </w:r>
    </w:p>
    <w:p w:rsidR="0040614A" w:rsidRDefault="004E7EF7">
      <w:pPr>
        <w:pStyle w:val="21"/>
        <w:spacing w:line="240" w:lineRule="auto"/>
        <w:ind w:firstLine="851"/>
        <w:jc w:val="right"/>
      </w:pPr>
      <w:r>
        <w:pict>
          <v:shape id="_x0000_i1026" type="#_x0000_t75" style="width:454.5pt;height:244.5pt" fillcolor="window">
            <v:imagedata r:id="rId8" o:title=""/>
          </v:shape>
        </w:pict>
      </w:r>
      <w:r w:rsidR="0040614A">
        <w:rPr>
          <w:b/>
        </w:rPr>
        <w:t xml:space="preserve"> </w:t>
      </w:r>
    </w:p>
    <w:p w:rsidR="0040614A" w:rsidRDefault="0040614A">
      <w:pPr>
        <w:pStyle w:val="21"/>
        <w:spacing w:line="240" w:lineRule="auto"/>
        <w:ind w:firstLine="0"/>
      </w:pPr>
    </w:p>
    <w:p w:rsidR="0040614A" w:rsidRDefault="0040614A">
      <w:pPr>
        <w:pStyle w:val="21"/>
        <w:spacing w:line="240" w:lineRule="auto"/>
        <w:ind w:firstLine="851"/>
        <w:rPr>
          <w:b/>
        </w:rPr>
      </w:pPr>
    </w:p>
    <w:p w:rsidR="0040614A" w:rsidRDefault="0040614A">
      <w:pPr>
        <w:pStyle w:val="21"/>
        <w:spacing w:line="240" w:lineRule="auto"/>
        <w:ind w:firstLine="851"/>
      </w:pPr>
      <w:r>
        <w:rPr>
          <w:b/>
        </w:rPr>
        <w:t xml:space="preserve">Отраслевая структура инвестиций в основной капитал. </w:t>
      </w:r>
      <w:r>
        <w:t>Изменения структуры ВВП сопровождалось перераспределением потоков инвестиций в основной капитал из сектора производства товаров в сектор услуг. В 1999 году инвестиции в сектор услуг составляли 52,40% от общего объема инвестиций в национальную экономику  против 43,0% накануне реформ. В свою очередь в инвестициях, направляемых в сектор услуг повышалась доля отраслей инфраструктуры. В период 1997-1999 годов в среднем на долю транспорта, связи и торговли приходилась 1/5 часть общего объема инвестиций в основной капитал против 12% среднем за период 1992-1996 годов.</w:t>
      </w:r>
    </w:p>
    <w:p w:rsidR="0040614A" w:rsidRDefault="0040614A">
      <w:pPr>
        <w:pStyle w:val="21"/>
        <w:spacing w:line="240" w:lineRule="auto"/>
        <w:ind w:firstLine="851"/>
      </w:pPr>
      <w:r>
        <w:t>Динамичное развитие связи и сектора информационных услуг поддерживалось интенсивным процессом инвестирования. Если в 1994 году доля инвестиций в связь составляла менее 1% в общем объеме инвестиций в национальную экономику, то в 1999 году она достигла 3,5%. Повышение инвестиционной активности в отрасли и рост спроса на услуги связи является индикатором экономического оживления. Заметим, что инвестиционная политика в отрасли ориентирована на решение перспективных проблем. Характерной для 1999 года явилась тенденция к расширению рынка и структуры предоставления услуг связи при сдерживании тарифов на услуги. Это позволило компаниям не только сохранить или расширить сегменты своего присутствия на рынке услуг связи, но и сформировать определенный потенциал к дальнейшему развитию.</w:t>
      </w:r>
    </w:p>
    <w:p w:rsidR="0040614A" w:rsidRDefault="0040614A">
      <w:pPr>
        <w:pStyle w:val="21"/>
        <w:spacing w:line="240" w:lineRule="auto"/>
        <w:ind w:firstLine="851"/>
      </w:pPr>
      <w:r>
        <w:t xml:space="preserve">С изменением институциональной структуры экономики и сокращением присутствия государства на рынке капитала доля инвестиций в сельское хозяйство снизилась с 10,8% в 1992 году до 2,5%-3,0% в период 1996-1999 годов. На инвестиции в промышленность в среднем за период 1994-1999 годов приходилась примерно 1/3 общего объема инвестиций в основной капитал. </w:t>
      </w:r>
    </w:p>
    <w:p w:rsidR="0040614A" w:rsidRDefault="0040614A">
      <w:pPr>
        <w:pStyle w:val="21"/>
        <w:spacing w:line="240" w:lineRule="auto"/>
        <w:ind w:firstLine="851"/>
      </w:pPr>
      <w:r>
        <w:t>По мере ослабления темпов спада промышленного производства отмечалось и постепенное замедление темпов свертывания инвестиционной деятельности. Этот процесс довольно существенно дифференцировался и по отдельным периодам, и отраслям промышленности. Так, в 1997 году в результате пересмотра налоговых льгот существенно замедлились темпы сокращения инвестиций в производственное строительство. При уменьшении объема инвестиций в основной капитал в целом по экономике на 5,0%, инвестиции в производственное строительство составили 99,0% от уровня предшествующего год. Однако в 1998 году в условиях кризиса в финансовом секторе экономики эта тенденция не сохранилась, и вновь отмечалось резкое сокращение инвестиционной активности. С изменением экономической конъюнктуры в 1999 году в промышленности зафиксирован прирост инвестиций в основной капитал на 8,8% по сравнению с предыдущим годом.</w:t>
      </w:r>
    </w:p>
    <w:p w:rsidR="0040614A" w:rsidRDefault="0040614A">
      <w:pPr>
        <w:pStyle w:val="21"/>
        <w:spacing w:line="240" w:lineRule="auto"/>
        <w:ind w:firstLine="851"/>
      </w:pPr>
      <w:r>
        <w:t>Следует отметить, что за последние два года произошли существенные изменения в структуре инвестиций по промышленно-производственным комплексам. Если в 1992-1997 годах систематически повышалась доля инвестиций в топливно-энергетический комплекс при снижении доли инвестиционного комплекса, то в 1999 году ситуация кардинально меняется. По данным Минэкономики РФ, прирост инвестиций в машиностроение по сравнению с 1998 годом составил 36,9%, при снижении темпов инвестиций в топливную промышленность на 2,2% и в электроэнергетику – на 21,4%.</w:t>
      </w:r>
    </w:p>
    <w:p w:rsidR="0040614A" w:rsidRDefault="0040614A">
      <w:pPr>
        <w:pStyle w:val="21"/>
        <w:spacing w:line="240" w:lineRule="auto"/>
        <w:ind w:firstLine="851"/>
      </w:pPr>
      <w:r>
        <w:t>Другой характерной чертой 1998 и 1999 годов является существенное повышение доли инвестиций в отрасли потребительского комплекса. Если в 1997 году на долю инвестиций в пищевую промышленность приходилось 8,2% от общего объема инвестиций в основной капитал промышленности, то в 1999 году - 15,2% году. Рост объемов инвестиций в основной капитал в пищевой и медицинской промышленности, соответственно, на 35,7% и 94,8%, соответствует политике замещения импорта потребительских товаров продукцией отечественных предприятий.</w:t>
      </w:r>
    </w:p>
    <w:p w:rsidR="0040614A" w:rsidRDefault="0040614A">
      <w:pPr>
        <w:pStyle w:val="30"/>
        <w:spacing w:line="240" w:lineRule="auto"/>
        <w:ind w:left="0" w:firstLine="851"/>
        <w:rPr>
          <w:i w:val="0"/>
        </w:rPr>
      </w:pPr>
      <w:r>
        <w:rPr>
          <w:i w:val="0"/>
        </w:rPr>
        <w:t>Изменение структуры инвестиций по отраслям промышленности отражает реакцию российского бизнеса на изменение конъюнктуры внутреннего рынка и рост спроса на отечественную продукцию. Однако, несмотря на рост инвестиций, их объем недостаточен для поддержания устойчивой тенденции экономического роста.</w:t>
      </w:r>
    </w:p>
    <w:p w:rsidR="0040614A" w:rsidRDefault="0040614A">
      <w:pPr>
        <w:pStyle w:val="30"/>
        <w:spacing w:line="240" w:lineRule="auto"/>
        <w:ind w:left="0" w:firstLine="851"/>
        <w:rPr>
          <w:i w:val="0"/>
        </w:rPr>
      </w:pPr>
    </w:p>
    <w:p w:rsidR="0040614A" w:rsidRDefault="0040614A">
      <w:pPr>
        <w:pStyle w:val="a3"/>
        <w:spacing w:line="240" w:lineRule="auto"/>
        <w:jc w:val="both"/>
        <w:rPr>
          <w:i w:val="0"/>
        </w:rPr>
      </w:pPr>
      <w:r>
        <w:rPr>
          <w:b/>
          <w:i w:val="0"/>
        </w:rPr>
        <w:t>Структура источников финансирования инвестиций.</w:t>
      </w:r>
      <w:r>
        <w:rPr>
          <w:i w:val="0"/>
        </w:rPr>
        <w:t xml:space="preserve"> Основным источником финансирования инвестиций в основной капитал являются собственные средства предприятий и организаций. В 1999 года доля собственных средств предприятий в инвестициях сохранилась примерно на уровне предшествующего года и составила 53,4%. Удельный вес собственных источников довольно существенно дифференцируется по отраслям и секторам экономики. В электроэнергетике на долю собственных средств приходится почти 90% инвестиций, в газовой промышленности – 82%, в нефтедобывающей – 74%, трубопроводном транспорте – 55%.</w:t>
      </w:r>
    </w:p>
    <w:p w:rsidR="0040614A" w:rsidRDefault="0040614A">
      <w:pPr>
        <w:pStyle w:val="30"/>
        <w:spacing w:line="240" w:lineRule="auto"/>
        <w:ind w:left="0" w:firstLine="851"/>
        <w:rPr>
          <w:i w:val="0"/>
        </w:rPr>
      </w:pPr>
      <w:r>
        <w:rPr>
          <w:i w:val="0"/>
        </w:rPr>
        <w:t>При высоких рисках сектор кредитных и банковских услуг практически не проявляет интереса к проектам инвестиций в реальный сектор экономики. В деятельности кредитных организаций доминирующая роль отводится краткосрочным операциям. Доля долгосрочных кредитных вложений составляет менее 6,0%.</w:t>
      </w:r>
    </w:p>
    <w:p w:rsidR="0040614A" w:rsidRDefault="0040614A">
      <w:pPr>
        <w:pStyle w:val="a3"/>
        <w:spacing w:line="240" w:lineRule="auto"/>
        <w:jc w:val="both"/>
        <w:rPr>
          <w:i w:val="0"/>
        </w:rPr>
      </w:pPr>
      <w:r>
        <w:rPr>
          <w:i w:val="0"/>
        </w:rPr>
        <w:t>Однако в связи с благоприятными изменениями экономической конъюнктуры в структуре источников финансирования инвестиций в основной капитал в 1999 году отмечается некоторое повышение доли кредитов банков и прямых иностранных инвестиций.</w:t>
      </w:r>
    </w:p>
    <w:p w:rsidR="0040614A" w:rsidRDefault="004061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jc w:val="both"/>
        <w:rPr>
          <w:rFonts w:ascii="Times New Roman" w:hAnsi="Times New Roman"/>
          <w:i w:val="0"/>
        </w:rPr>
      </w:pPr>
      <w:r>
        <w:rPr>
          <w:rFonts w:ascii="Times New Roman" w:hAnsi="Times New Roman"/>
          <w:i w:val="0"/>
        </w:rPr>
        <w:t xml:space="preserve">Объем прямых иностранных инвестиций в 1999 году  на 26,7% превысил уровень 1998 года и составил 4,3 млрд. долларов. Однако осуществленные инвестиции явились результатом проводившихся ранее, на протяжении длительного времени, переговоров и начала реализации соответствующих проектов. Основной приток прямых инвестиций пришелся на топливную (прежде всего нефтяную) и пищевую отрасли, что совершенно естественно: первая наиболее эффективна, а вторая имеет короткий срок окупаемости. </w:t>
      </w:r>
    </w:p>
    <w:p w:rsidR="0040614A" w:rsidRDefault="0040614A">
      <w:pPr>
        <w:pStyle w:val="a6"/>
        <w:spacing w:line="240" w:lineRule="auto"/>
        <w:rPr>
          <w:i w:val="0"/>
        </w:rPr>
      </w:pPr>
      <w:r>
        <w:rPr>
          <w:i w:val="0"/>
        </w:rPr>
        <w:t>Продолжавшиеся в течение всего года переговоры с международными финансовыми организациями продемонстрировали, что решение о предоставлении отсрочек и новых кредитов в условиях полного отсутствия доверия к российским властям может быть только сугубо политическим. Внутриполитическая неопределенность, обусловленная приближением парламентских и президентских выборов, а также нарастание напряженности во взаимоотношениях с развитыми зарубежными странами (сначала из-за проблем в Косово, затем в Чечне) оказывали негативное влияние на отношение иностранных кредиторов к перспективам сотрудничества с Россией в 1999 году.</w:t>
      </w:r>
    </w:p>
    <w:p w:rsidR="0040614A" w:rsidRDefault="0040614A">
      <w:pPr>
        <w:pStyle w:val="a3"/>
        <w:spacing w:line="240" w:lineRule="auto"/>
        <w:jc w:val="both"/>
        <w:rPr>
          <w:i w:val="0"/>
        </w:rPr>
      </w:pPr>
      <w:r>
        <w:rPr>
          <w:i w:val="0"/>
        </w:rPr>
        <w:t>В структуре источников финансирования инвестиций в основной капитал еще более усилилась тенденция к сокращению доли бюджетных средств, при этом происходит перераспределение долей между федеральным бюджетом и бюджетами субъектов Федерации в пользу последних. Федеральным бюджетом 1999 года на финансирование государственных инвестиций предусмотрены средства в размере 6,7 млрд. руб., что на 15% меньше уровня предыдущего года. Характерно, что в 1999 году повысился уровень финансирования бюджетных расходов на инвестиционные цели. По предварительным данным Минфина, годовой лимит инвестиций профинансирован в объеме 6 млрд. руб., т.е. на 90,2%. По итогам 1999 года доля бюджетных средств в инвестициях в основной капитал снизилась до 1,5% ВВП.</w:t>
      </w:r>
    </w:p>
    <w:p w:rsidR="0040614A" w:rsidRDefault="0040614A">
      <w:pPr>
        <w:pStyle w:val="2"/>
        <w:keepNext w:val="0"/>
        <w:spacing w:line="240" w:lineRule="auto"/>
      </w:pPr>
      <w:r>
        <w:t>Таблица 5</w:t>
      </w:r>
    </w:p>
    <w:p w:rsidR="0040614A" w:rsidRDefault="0040614A">
      <w:pPr>
        <w:pStyle w:val="20"/>
        <w:spacing w:line="240" w:lineRule="auto"/>
        <w:jc w:val="center"/>
        <w:rPr>
          <w:b/>
          <w:i w:val="0"/>
        </w:rPr>
      </w:pPr>
      <w:r>
        <w:rPr>
          <w:b/>
          <w:i w:val="0"/>
        </w:rPr>
        <w:t>Инвестиции в основной капитал по источникам финансирования, в ценах соответствующих лет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417"/>
        <w:gridCol w:w="1276"/>
        <w:gridCol w:w="1984"/>
      </w:tblGrid>
      <w:tr w:rsidR="0040614A">
        <w:tc>
          <w:tcPr>
            <w:tcW w:w="4395" w:type="dxa"/>
          </w:tcPr>
          <w:p w:rsidR="0040614A" w:rsidRDefault="0040614A">
            <w:pPr>
              <w:rPr>
                <w:i/>
              </w:rPr>
            </w:pPr>
          </w:p>
        </w:tc>
        <w:tc>
          <w:tcPr>
            <w:tcW w:w="1417" w:type="dxa"/>
          </w:tcPr>
          <w:p w:rsidR="0040614A" w:rsidRDefault="0040614A">
            <w:pPr>
              <w:rPr>
                <w:i/>
              </w:rPr>
            </w:pPr>
            <w:r>
              <w:rPr>
                <w:i/>
              </w:rPr>
              <w:t>1997</w:t>
            </w:r>
          </w:p>
          <w:p w:rsidR="0040614A" w:rsidRDefault="0040614A">
            <w:pPr>
              <w:rPr>
                <w:i/>
              </w:rPr>
            </w:pPr>
          </w:p>
        </w:tc>
        <w:tc>
          <w:tcPr>
            <w:tcW w:w="1276" w:type="dxa"/>
          </w:tcPr>
          <w:p w:rsidR="0040614A" w:rsidRDefault="0040614A">
            <w:pPr>
              <w:rPr>
                <w:i/>
              </w:rPr>
            </w:pPr>
            <w:r>
              <w:rPr>
                <w:i/>
              </w:rPr>
              <w:t>1998 год</w:t>
            </w:r>
          </w:p>
        </w:tc>
        <w:tc>
          <w:tcPr>
            <w:tcW w:w="1984" w:type="dxa"/>
          </w:tcPr>
          <w:p w:rsidR="0040614A" w:rsidRDefault="0040614A">
            <w:pPr>
              <w:rPr>
                <w:i/>
              </w:rPr>
            </w:pPr>
            <w:r>
              <w:rPr>
                <w:i/>
              </w:rPr>
              <w:t xml:space="preserve">1999 год </w:t>
            </w:r>
          </w:p>
          <w:p w:rsidR="0040614A" w:rsidRDefault="0040614A">
            <w:pPr>
              <w:rPr>
                <w:i/>
              </w:rPr>
            </w:pPr>
          </w:p>
        </w:tc>
      </w:tr>
      <w:tr w:rsidR="0040614A">
        <w:trPr>
          <w:trHeight w:val="333"/>
        </w:trPr>
        <w:tc>
          <w:tcPr>
            <w:tcW w:w="4395" w:type="dxa"/>
          </w:tcPr>
          <w:p w:rsidR="0040614A" w:rsidRDefault="004061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ind w:firstLine="0"/>
              <w:jc w:val="left"/>
              <w:rPr>
                <w:rFonts w:ascii="Times New Roman" w:hAnsi="Times New Roman"/>
                <w:i w:val="0"/>
                <w:sz w:val="20"/>
              </w:rPr>
            </w:pPr>
            <w:r>
              <w:rPr>
                <w:rFonts w:ascii="Times New Roman" w:hAnsi="Times New Roman"/>
                <w:i w:val="0"/>
                <w:sz w:val="20"/>
              </w:rPr>
              <w:t>Инвестиции в основной капитал</w:t>
            </w:r>
          </w:p>
        </w:tc>
        <w:tc>
          <w:tcPr>
            <w:tcW w:w="1417" w:type="dxa"/>
          </w:tcPr>
          <w:p w:rsidR="0040614A" w:rsidRDefault="0040614A">
            <w:pPr>
              <w:pStyle w:val="a4"/>
              <w:jc w:val="left"/>
              <w:rPr>
                <w:i w:val="0"/>
              </w:rPr>
            </w:pPr>
            <w:r>
              <w:rPr>
                <w:i w:val="0"/>
              </w:rPr>
              <w:t>100,0</w:t>
            </w:r>
          </w:p>
        </w:tc>
        <w:tc>
          <w:tcPr>
            <w:tcW w:w="1276" w:type="dxa"/>
          </w:tcPr>
          <w:p w:rsidR="0040614A" w:rsidRDefault="0040614A">
            <w:pPr>
              <w:rPr>
                <w:i/>
              </w:rPr>
            </w:pPr>
            <w:r>
              <w:rPr>
                <w:i/>
              </w:rPr>
              <w:t>100,0</w:t>
            </w:r>
          </w:p>
        </w:tc>
        <w:tc>
          <w:tcPr>
            <w:tcW w:w="1984" w:type="dxa"/>
          </w:tcPr>
          <w:p w:rsidR="0040614A" w:rsidRDefault="0040614A">
            <w:pPr>
              <w:rPr>
                <w:i/>
              </w:rPr>
            </w:pPr>
            <w:r>
              <w:rPr>
                <w:i/>
              </w:rPr>
              <w:t>100,0</w:t>
            </w:r>
          </w:p>
        </w:tc>
      </w:tr>
      <w:tr w:rsidR="0040614A">
        <w:tc>
          <w:tcPr>
            <w:tcW w:w="4395" w:type="dxa"/>
          </w:tcPr>
          <w:p w:rsidR="0040614A" w:rsidRDefault="0040614A">
            <w:pPr>
              <w:rPr>
                <w:i/>
              </w:rPr>
            </w:pPr>
            <w:r>
              <w:rPr>
                <w:i/>
              </w:rPr>
              <w:t>в том числе:</w:t>
            </w:r>
          </w:p>
        </w:tc>
        <w:tc>
          <w:tcPr>
            <w:tcW w:w="1417" w:type="dxa"/>
          </w:tcPr>
          <w:p w:rsidR="0040614A" w:rsidRDefault="0040614A">
            <w:pPr>
              <w:rPr>
                <w:i/>
              </w:rPr>
            </w:pPr>
          </w:p>
        </w:tc>
        <w:tc>
          <w:tcPr>
            <w:tcW w:w="1276" w:type="dxa"/>
          </w:tcPr>
          <w:p w:rsidR="0040614A" w:rsidRDefault="0040614A">
            <w:pPr>
              <w:rPr>
                <w:i/>
              </w:rPr>
            </w:pPr>
          </w:p>
        </w:tc>
        <w:tc>
          <w:tcPr>
            <w:tcW w:w="1984" w:type="dxa"/>
          </w:tcPr>
          <w:p w:rsidR="0040614A" w:rsidRDefault="0040614A">
            <w:pPr>
              <w:rPr>
                <w:i/>
              </w:rPr>
            </w:pPr>
          </w:p>
        </w:tc>
      </w:tr>
      <w:tr w:rsidR="0040614A">
        <w:tc>
          <w:tcPr>
            <w:tcW w:w="4395" w:type="dxa"/>
          </w:tcPr>
          <w:p w:rsidR="0040614A" w:rsidRDefault="0040614A">
            <w:pPr>
              <w:rPr>
                <w:i/>
              </w:rPr>
            </w:pPr>
            <w:r>
              <w:rPr>
                <w:b/>
                <w:i/>
              </w:rPr>
              <w:t>1.</w:t>
            </w:r>
            <w:r>
              <w:rPr>
                <w:i/>
              </w:rPr>
              <w:t xml:space="preserve"> </w:t>
            </w:r>
            <w:r>
              <w:rPr>
                <w:b/>
                <w:i/>
              </w:rPr>
              <w:t>Собственные и привлеченные средства</w:t>
            </w:r>
          </w:p>
        </w:tc>
        <w:tc>
          <w:tcPr>
            <w:tcW w:w="1417" w:type="dxa"/>
          </w:tcPr>
          <w:p w:rsidR="0040614A" w:rsidRDefault="0040614A">
            <w:pPr>
              <w:rPr>
                <w:i/>
              </w:rPr>
            </w:pPr>
            <w:r>
              <w:rPr>
                <w:i/>
              </w:rPr>
              <w:t>78,2</w:t>
            </w:r>
          </w:p>
        </w:tc>
        <w:tc>
          <w:tcPr>
            <w:tcW w:w="1276" w:type="dxa"/>
          </w:tcPr>
          <w:p w:rsidR="0040614A" w:rsidRDefault="0040614A">
            <w:pPr>
              <w:rPr>
                <w:i/>
              </w:rPr>
            </w:pPr>
            <w:r>
              <w:rPr>
                <w:i/>
              </w:rPr>
              <w:t>80,2</w:t>
            </w:r>
          </w:p>
        </w:tc>
        <w:tc>
          <w:tcPr>
            <w:tcW w:w="1984" w:type="dxa"/>
          </w:tcPr>
          <w:p w:rsidR="0040614A" w:rsidRDefault="0040614A">
            <w:pPr>
              <w:rPr>
                <w:i/>
              </w:rPr>
            </w:pPr>
            <w:r>
              <w:rPr>
                <w:i/>
              </w:rPr>
              <w:t>82,6</w:t>
            </w:r>
          </w:p>
        </w:tc>
      </w:tr>
      <w:tr w:rsidR="0040614A">
        <w:tc>
          <w:tcPr>
            <w:tcW w:w="4395" w:type="dxa"/>
          </w:tcPr>
          <w:p w:rsidR="0040614A" w:rsidRDefault="0040614A">
            <w:pPr>
              <w:rPr>
                <w:i/>
              </w:rPr>
            </w:pPr>
            <w:r>
              <w:rPr>
                <w:i/>
              </w:rPr>
              <w:t>из них:</w:t>
            </w:r>
          </w:p>
        </w:tc>
        <w:tc>
          <w:tcPr>
            <w:tcW w:w="1417" w:type="dxa"/>
          </w:tcPr>
          <w:p w:rsidR="0040614A" w:rsidRDefault="0040614A">
            <w:pPr>
              <w:rPr>
                <w:i/>
              </w:rPr>
            </w:pPr>
          </w:p>
        </w:tc>
        <w:tc>
          <w:tcPr>
            <w:tcW w:w="1276" w:type="dxa"/>
          </w:tcPr>
          <w:p w:rsidR="0040614A" w:rsidRDefault="0040614A">
            <w:pPr>
              <w:rPr>
                <w:i/>
              </w:rPr>
            </w:pPr>
          </w:p>
        </w:tc>
        <w:tc>
          <w:tcPr>
            <w:tcW w:w="1984" w:type="dxa"/>
          </w:tcPr>
          <w:p w:rsidR="0040614A" w:rsidRDefault="0040614A">
            <w:pPr>
              <w:rPr>
                <w:i/>
              </w:rPr>
            </w:pPr>
          </w:p>
        </w:tc>
      </w:tr>
      <w:tr w:rsidR="0040614A">
        <w:tc>
          <w:tcPr>
            <w:tcW w:w="4395" w:type="dxa"/>
          </w:tcPr>
          <w:p w:rsidR="0040614A" w:rsidRDefault="0040614A">
            <w:pPr>
              <w:rPr>
                <w:i/>
              </w:rPr>
            </w:pPr>
            <w:r>
              <w:rPr>
                <w:i/>
              </w:rPr>
              <w:t xml:space="preserve"> - </w:t>
            </w:r>
            <w:r>
              <w:rPr>
                <w:b/>
                <w:i/>
              </w:rPr>
              <w:t>собственные средства предприятий</w:t>
            </w:r>
          </w:p>
        </w:tc>
        <w:tc>
          <w:tcPr>
            <w:tcW w:w="1417" w:type="dxa"/>
          </w:tcPr>
          <w:p w:rsidR="0040614A" w:rsidRDefault="0040614A">
            <w:pPr>
              <w:rPr>
                <w:i/>
              </w:rPr>
            </w:pPr>
            <w:r>
              <w:rPr>
                <w:i/>
              </w:rPr>
              <w:t>60,8</w:t>
            </w:r>
          </w:p>
        </w:tc>
        <w:tc>
          <w:tcPr>
            <w:tcW w:w="1276" w:type="dxa"/>
          </w:tcPr>
          <w:p w:rsidR="0040614A" w:rsidRDefault="0040614A">
            <w:pPr>
              <w:rPr>
                <w:i/>
              </w:rPr>
            </w:pPr>
            <w:r>
              <w:rPr>
                <w:i/>
              </w:rPr>
              <w:t>53,6</w:t>
            </w:r>
          </w:p>
        </w:tc>
        <w:tc>
          <w:tcPr>
            <w:tcW w:w="1984" w:type="dxa"/>
          </w:tcPr>
          <w:p w:rsidR="0040614A" w:rsidRDefault="0040614A">
            <w:pPr>
              <w:rPr>
                <w:i/>
              </w:rPr>
            </w:pPr>
            <w:r>
              <w:rPr>
                <w:i/>
              </w:rPr>
              <w:t>53,4</w:t>
            </w:r>
          </w:p>
        </w:tc>
      </w:tr>
      <w:tr w:rsidR="0040614A">
        <w:tc>
          <w:tcPr>
            <w:tcW w:w="4395" w:type="dxa"/>
          </w:tcPr>
          <w:p w:rsidR="0040614A" w:rsidRDefault="0040614A">
            <w:pPr>
              <w:rPr>
                <w:i/>
              </w:rPr>
            </w:pPr>
            <w:r>
              <w:rPr>
                <w:i/>
              </w:rPr>
              <w:t xml:space="preserve"> из них: фонд накопления</w:t>
            </w:r>
          </w:p>
        </w:tc>
        <w:tc>
          <w:tcPr>
            <w:tcW w:w="1417" w:type="dxa"/>
          </w:tcPr>
          <w:p w:rsidR="0040614A" w:rsidRDefault="0040614A">
            <w:pPr>
              <w:rPr>
                <w:i/>
              </w:rPr>
            </w:pPr>
            <w:r>
              <w:rPr>
                <w:i/>
              </w:rPr>
              <w:t>13,2</w:t>
            </w:r>
          </w:p>
        </w:tc>
        <w:tc>
          <w:tcPr>
            <w:tcW w:w="1276" w:type="dxa"/>
          </w:tcPr>
          <w:p w:rsidR="0040614A" w:rsidRDefault="0040614A">
            <w:pPr>
              <w:rPr>
                <w:i/>
              </w:rPr>
            </w:pPr>
            <w:r>
              <w:rPr>
                <w:i/>
              </w:rPr>
              <w:t>13,3</w:t>
            </w:r>
          </w:p>
        </w:tc>
        <w:tc>
          <w:tcPr>
            <w:tcW w:w="1984" w:type="dxa"/>
          </w:tcPr>
          <w:p w:rsidR="0040614A" w:rsidRDefault="0040614A">
            <w:pPr>
              <w:rPr>
                <w:i/>
              </w:rPr>
            </w:pPr>
            <w:r>
              <w:rPr>
                <w:i/>
              </w:rPr>
              <w:t>16,2</w:t>
            </w:r>
          </w:p>
        </w:tc>
      </w:tr>
      <w:tr w:rsidR="0040614A">
        <w:tc>
          <w:tcPr>
            <w:tcW w:w="4395" w:type="dxa"/>
          </w:tcPr>
          <w:p w:rsidR="0040614A" w:rsidRDefault="0040614A">
            <w:pPr>
              <w:rPr>
                <w:i/>
              </w:rPr>
            </w:pPr>
            <w:r>
              <w:rPr>
                <w:i/>
              </w:rPr>
              <w:t xml:space="preserve"> - </w:t>
            </w:r>
            <w:r>
              <w:rPr>
                <w:b/>
                <w:i/>
              </w:rPr>
              <w:t>привлеченные средства</w:t>
            </w:r>
          </w:p>
        </w:tc>
        <w:tc>
          <w:tcPr>
            <w:tcW w:w="1417" w:type="dxa"/>
          </w:tcPr>
          <w:p w:rsidR="0040614A" w:rsidRDefault="0040614A">
            <w:pPr>
              <w:rPr>
                <w:i/>
              </w:rPr>
            </w:pPr>
            <w:r>
              <w:rPr>
                <w:i/>
              </w:rPr>
              <w:t>1745</w:t>
            </w:r>
          </w:p>
        </w:tc>
        <w:tc>
          <w:tcPr>
            <w:tcW w:w="1276" w:type="dxa"/>
          </w:tcPr>
          <w:p w:rsidR="0040614A" w:rsidRDefault="0040614A">
            <w:pPr>
              <w:rPr>
                <w:i/>
              </w:rPr>
            </w:pPr>
            <w:r>
              <w:rPr>
                <w:i/>
              </w:rPr>
              <w:t>26,6</w:t>
            </w:r>
          </w:p>
        </w:tc>
        <w:tc>
          <w:tcPr>
            <w:tcW w:w="1984" w:type="dxa"/>
          </w:tcPr>
          <w:p w:rsidR="0040614A" w:rsidRDefault="0040614A">
            <w:pPr>
              <w:rPr>
                <w:i/>
              </w:rPr>
            </w:pPr>
            <w:r>
              <w:rPr>
                <w:i/>
              </w:rPr>
              <w:t>29,2</w:t>
            </w:r>
          </w:p>
        </w:tc>
      </w:tr>
      <w:tr w:rsidR="0040614A">
        <w:tc>
          <w:tcPr>
            <w:tcW w:w="4395" w:type="dxa"/>
          </w:tcPr>
          <w:p w:rsidR="0040614A" w:rsidRDefault="0040614A">
            <w:pPr>
              <w:rPr>
                <w:i/>
              </w:rPr>
            </w:pPr>
            <w:r>
              <w:rPr>
                <w:i/>
              </w:rPr>
              <w:t xml:space="preserve"> в том числе: </w:t>
            </w:r>
          </w:p>
        </w:tc>
        <w:tc>
          <w:tcPr>
            <w:tcW w:w="1417" w:type="dxa"/>
          </w:tcPr>
          <w:p w:rsidR="0040614A" w:rsidRDefault="0040614A">
            <w:pPr>
              <w:rPr>
                <w:i/>
              </w:rPr>
            </w:pPr>
          </w:p>
        </w:tc>
        <w:tc>
          <w:tcPr>
            <w:tcW w:w="1276" w:type="dxa"/>
          </w:tcPr>
          <w:p w:rsidR="0040614A" w:rsidRDefault="0040614A">
            <w:pPr>
              <w:rPr>
                <w:i/>
              </w:rPr>
            </w:pPr>
          </w:p>
        </w:tc>
        <w:tc>
          <w:tcPr>
            <w:tcW w:w="1984" w:type="dxa"/>
          </w:tcPr>
          <w:p w:rsidR="0040614A" w:rsidRDefault="0040614A">
            <w:pPr>
              <w:rPr>
                <w:i/>
              </w:rPr>
            </w:pPr>
          </w:p>
        </w:tc>
      </w:tr>
      <w:tr w:rsidR="0040614A">
        <w:tc>
          <w:tcPr>
            <w:tcW w:w="4395" w:type="dxa"/>
          </w:tcPr>
          <w:p w:rsidR="0040614A" w:rsidRDefault="0040614A">
            <w:pPr>
              <w:rPr>
                <w:i/>
              </w:rPr>
            </w:pPr>
            <w:r>
              <w:rPr>
                <w:i/>
              </w:rPr>
              <w:t>кредиты коммерческих банков</w:t>
            </w:r>
          </w:p>
        </w:tc>
        <w:tc>
          <w:tcPr>
            <w:tcW w:w="1417" w:type="dxa"/>
          </w:tcPr>
          <w:p w:rsidR="0040614A" w:rsidRDefault="0040614A">
            <w:pPr>
              <w:rPr>
                <w:i/>
              </w:rPr>
            </w:pPr>
          </w:p>
        </w:tc>
        <w:tc>
          <w:tcPr>
            <w:tcW w:w="1276" w:type="dxa"/>
          </w:tcPr>
          <w:p w:rsidR="0040614A" w:rsidRDefault="0040614A">
            <w:pPr>
              <w:rPr>
                <w:i/>
              </w:rPr>
            </w:pPr>
            <w:r>
              <w:rPr>
                <w:i/>
              </w:rPr>
              <w:t>4,8</w:t>
            </w:r>
          </w:p>
        </w:tc>
        <w:tc>
          <w:tcPr>
            <w:tcW w:w="1984" w:type="dxa"/>
          </w:tcPr>
          <w:p w:rsidR="0040614A" w:rsidRDefault="0040614A">
            <w:pPr>
              <w:rPr>
                <w:i/>
              </w:rPr>
            </w:pPr>
            <w:r>
              <w:rPr>
                <w:i/>
              </w:rPr>
              <w:t>4,3</w:t>
            </w:r>
          </w:p>
        </w:tc>
      </w:tr>
      <w:tr w:rsidR="0040614A">
        <w:tc>
          <w:tcPr>
            <w:tcW w:w="4395" w:type="dxa"/>
          </w:tcPr>
          <w:p w:rsidR="0040614A" w:rsidRDefault="0040614A">
            <w:pPr>
              <w:rPr>
                <w:i/>
              </w:rPr>
            </w:pPr>
            <w:r>
              <w:rPr>
                <w:i/>
              </w:rPr>
              <w:t xml:space="preserve"> - Заемные средства других организаций</w:t>
            </w:r>
          </w:p>
        </w:tc>
        <w:tc>
          <w:tcPr>
            <w:tcW w:w="1417" w:type="dxa"/>
          </w:tcPr>
          <w:p w:rsidR="0040614A" w:rsidRDefault="0040614A">
            <w:pPr>
              <w:rPr>
                <w:i/>
              </w:rPr>
            </w:pPr>
          </w:p>
        </w:tc>
        <w:tc>
          <w:tcPr>
            <w:tcW w:w="1276" w:type="dxa"/>
          </w:tcPr>
          <w:p w:rsidR="0040614A" w:rsidRDefault="0040614A">
            <w:pPr>
              <w:rPr>
                <w:i/>
              </w:rPr>
            </w:pPr>
            <w:r>
              <w:rPr>
                <w:i/>
              </w:rPr>
              <w:t>4,4</w:t>
            </w:r>
          </w:p>
        </w:tc>
        <w:tc>
          <w:tcPr>
            <w:tcW w:w="1984" w:type="dxa"/>
          </w:tcPr>
          <w:p w:rsidR="0040614A" w:rsidRDefault="0040614A">
            <w:pPr>
              <w:rPr>
                <w:i/>
              </w:rPr>
            </w:pPr>
            <w:r>
              <w:rPr>
                <w:i/>
              </w:rPr>
              <w:t>5,7</w:t>
            </w:r>
          </w:p>
        </w:tc>
      </w:tr>
      <w:tr w:rsidR="0040614A">
        <w:tc>
          <w:tcPr>
            <w:tcW w:w="4395" w:type="dxa"/>
          </w:tcPr>
          <w:p w:rsidR="0040614A" w:rsidRDefault="0040614A">
            <w:pPr>
              <w:rPr>
                <w:i/>
              </w:rPr>
            </w:pPr>
            <w:r>
              <w:rPr>
                <w:i/>
              </w:rPr>
              <w:t>средства внебюджетных фондов</w:t>
            </w:r>
          </w:p>
        </w:tc>
        <w:tc>
          <w:tcPr>
            <w:tcW w:w="1417" w:type="dxa"/>
          </w:tcPr>
          <w:p w:rsidR="0040614A" w:rsidRDefault="0040614A">
            <w:pPr>
              <w:rPr>
                <w:i/>
              </w:rPr>
            </w:pPr>
          </w:p>
        </w:tc>
        <w:tc>
          <w:tcPr>
            <w:tcW w:w="1276" w:type="dxa"/>
          </w:tcPr>
          <w:p w:rsidR="0040614A" w:rsidRDefault="0040614A">
            <w:pPr>
              <w:rPr>
                <w:i/>
              </w:rPr>
            </w:pPr>
            <w:r>
              <w:rPr>
                <w:i/>
              </w:rPr>
              <w:t>10,8</w:t>
            </w:r>
          </w:p>
        </w:tc>
        <w:tc>
          <w:tcPr>
            <w:tcW w:w="1984" w:type="dxa"/>
          </w:tcPr>
          <w:p w:rsidR="0040614A" w:rsidRDefault="0040614A">
            <w:pPr>
              <w:rPr>
                <w:i/>
              </w:rPr>
            </w:pPr>
            <w:r>
              <w:rPr>
                <w:i/>
              </w:rPr>
              <w:t>8,8</w:t>
            </w:r>
          </w:p>
        </w:tc>
      </w:tr>
      <w:tr w:rsidR="0040614A">
        <w:tc>
          <w:tcPr>
            <w:tcW w:w="4395" w:type="dxa"/>
          </w:tcPr>
          <w:p w:rsidR="0040614A" w:rsidRDefault="0040614A">
            <w:pPr>
              <w:rPr>
                <w:i/>
              </w:rPr>
            </w:pPr>
            <w:r>
              <w:rPr>
                <w:i/>
              </w:rPr>
              <w:t xml:space="preserve"> - прочие</w:t>
            </w:r>
          </w:p>
        </w:tc>
        <w:tc>
          <w:tcPr>
            <w:tcW w:w="1417" w:type="dxa"/>
          </w:tcPr>
          <w:p w:rsidR="0040614A" w:rsidRDefault="0040614A">
            <w:pPr>
              <w:rPr>
                <w:i/>
              </w:rPr>
            </w:pPr>
          </w:p>
        </w:tc>
        <w:tc>
          <w:tcPr>
            <w:tcW w:w="1276" w:type="dxa"/>
          </w:tcPr>
          <w:p w:rsidR="0040614A" w:rsidRDefault="0040614A">
            <w:pPr>
              <w:rPr>
                <w:i/>
              </w:rPr>
            </w:pPr>
            <w:r>
              <w:rPr>
                <w:i/>
              </w:rPr>
              <w:t>7,2</w:t>
            </w:r>
          </w:p>
        </w:tc>
        <w:tc>
          <w:tcPr>
            <w:tcW w:w="1984" w:type="dxa"/>
          </w:tcPr>
          <w:p w:rsidR="0040614A" w:rsidRDefault="0040614A">
            <w:pPr>
              <w:rPr>
                <w:i/>
              </w:rPr>
            </w:pPr>
            <w:r>
              <w:rPr>
                <w:i/>
              </w:rPr>
              <w:t>8,8</w:t>
            </w:r>
          </w:p>
        </w:tc>
      </w:tr>
      <w:tr w:rsidR="0040614A">
        <w:tc>
          <w:tcPr>
            <w:tcW w:w="4395" w:type="dxa"/>
          </w:tcPr>
          <w:p w:rsidR="0040614A" w:rsidRDefault="0040614A">
            <w:pPr>
              <w:rPr>
                <w:i/>
              </w:rPr>
            </w:pPr>
            <w:r>
              <w:rPr>
                <w:i/>
              </w:rPr>
              <w:t xml:space="preserve">изних средства от эмиссии акций </w:t>
            </w:r>
          </w:p>
        </w:tc>
        <w:tc>
          <w:tcPr>
            <w:tcW w:w="1417" w:type="dxa"/>
          </w:tcPr>
          <w:p w:rsidR="0040614A" w:rsidRDefault="0040614A">
            <w:pPr>
              <w:rPr>
                <w:i/>
              </w:rPr>
            </w:pPr>
          </w:p>
        </w:tc>
        <w:tc>
          <w:tcPr>
            <w:tcW w:w="1276" w:type="dxa"/>
          </w:tcPr>
          <w:p w:rsidR="0040614A" w:rsidRDefault="0040614A">
            <w:pPr>
              <w:rPr>
                <w:i/>
              </w:rPr>
            </w:pPr>
            <w:r>
              <w:rPr>
                <w:i/>
              </w:rPr>
              <w:t>0,4</w:t>
            </w:r>
          </w:p>
        </w:tc>
        <w:tc>
          <w:tcPr>
            <w:tcW w:w="1984" w:type="dxa"/>
          </w:tcPr>
          <w:p w:rsidR="0040614A" w:rsidRDefault="0040614A">
            <w:pPr>
              <w:rPr>
                <w:i/>
              </w:rPr>
            </w:pPr>
            <w:r>
              <w:rPr>
                <w:i/>
              </w:rPr>
              <w:t>0,7</w:t>
            </w:r>
          </w:p>
        </w:tc>
      </w:tr>
      <w:tr w:rsidR="0040614A">
        <w:tc>
          <w:tcPr>
            <w:tcW w:w="4395" w:type="dxa"/>
          </w:tcPr>
          <w:p w:rsidR="0040614A" w:rsidRDefault="0040614A">
            <w:pPr>
              <w:rPr>
                <w:b/>
                <w:i/>
              </w:rPr>
            </w:pPr>
            <w:r>
              <w:rPr>
                <w:b/>
                <w:i/>
              </w:rPr>
              <w:t>2.Средства консолидированного бюджета</w:t>
            </w:r>
          </w:p>
        </w:tc>
        <w:tc>
          <w:tcPr>
            <w:tcW w:w="1417" w:type="dxa"/>
          </w:tcPr>
          <w:p w:rsidR="0040614A" w:rsidRDefault="0040614A">
            <w:pPr>
              <w:rPr>
                <w:i/>
              </w:rPr>
            </w:pPr>
            <w:r>
              <w:rPr>
                <w:i/>
              </w:rPr>
              <w:t>21,8</w:t>
            </w:r>
          </w:p>
        </w:tc>
        <w:tc>
          <w:tcPr>
            <w:tcW w:w="1276" w:type="dxa"/>
          </w:tcPr>
          <w:p w:rsidR="0040614A" w:rsidRDefault="0040614A">
            <w:pPr>
              <w:rPr>
                <w:i/>
              </w:rPr>
            </w:pPr>
            <w:r>
              <w:rPr>
                <w:i/>
              </w:rPr>
              <w:t>19,2</w:t>
            </w:r>
          </w:p>
        </w:tc>
        <w:tc>
          <w:tcPr>
            <w:tcW w:w="1984" w:type="dxa"/>
          </w:tcPr>
          <w:p w:rsidR="0040614A" w:rsidRDefault="0040614A">
            <w:pPr>
              <w:rPr>
                <w:i/>
              </w:rPr>
            </w:pPr>
            <w:r>
              <w:rPr>
                <w:i/>
              </w:rPr>
              <w:t>17,4</w:t>
            </w:r>
          </w:p>
        </w:tc>
      </w:tr>
      <w:tr w:rsidR="0040614A">
        <w:tc>
          <w:tcPr>
            <w:tcW w:w="4395" w:type="dxa"/>
          </w:tcPr>
          <w:p w:rsidR="0040614A" w:rsidRDefault="0040614A">
            <w:pPr>
              <w:rPr>
                <w:i/>
              </w:rPr>
            </w:pPr>
            <w:r>
              <w:rPr>
                <w:i/>
              </w:rPr>
              <w:t>из них средства федерального бюджета</w:t>
            </w:r>
          </w:p>
        </w:tc>
        <w:tc>
          <w:tcPr>
            <w:tcW w:w="1417" w:type="dxa"/>
          </w:tcPr>
          <w:p w:rsidR="0040614A" w:rsidRDefault="0040614A">
            <w:pPr>
              <w:rPr>
                <w:i/>
              </w:rPr>
            </w:pPr>
            <w:r>
              <w:rPr>
                <w:i/>
              </w:rPr>
              <w:t>10,1</w:t>
            </w:r>
          </w:p>
        </w:tc>
        <w:tc>
          <w:tcPr>
            <w:tcW w:w="1276" w:type="dxa"/>
          </w:tcPr>
          <w:p w:rsidR="0040614A" w:rsidRDefault="0040614A">
            <w:pPr>
              <w:rPr>
                <w:i/>
              </w:rPr>
            </w:pPr>
            <w:r>
              <w:rPr>
                <w:i/>
              </w:rPr>
              <w:t>6,6</w:t>
            </w:r>
          </w:p>
        </w:tc>
        <w:tc>
          <w:tcPr>
            <w:tcW w:w="1984" w:type="dxa"/>
          </w:tcPr>
          <w:p w:rsidR="0040614A" w:rsidRDefault="0040614A">
            <w:pPr>
              <w:rPr>
                <w:i/>
              </w:rPr>
            </w:pPr>
            <w:r>
              <w:rPr>
                <w:i/>
              </w:rPr>
              <w:t>6,6</w:t>
            </w:r>
          </w:p>
        </w:tc>
      </w:tr>
    </w:tbl>
    <w:p w:rsidR="0040614A" w:rsidRDefault="0040614A">
      <w:pPr>
        <w:pStyle w:val="a4"/>
        <w:jc w:val="left"/>
        <w:rPr>
          <w:i w:val="0"/>
        </w:rPr>
      </w:pPr>
      <w:r>
        <w:rPr>
          <w:i w:val="0"/>
        </w:rPr>
        <w:t>Источник: Росстатагентство</w:t>
      </w:r>
    </w:p>
    <w:p w:rsidR="0040614A" w:rsidRDefault="0040614A">
      <w:pPr>
        <w:pStyle w:val="21"/>
        <w:spacing w:line="240" w:lineRule="auto"/>
        <w:ind w:firstLine="851"/>
      </w:pPr>
    </w:p>
    <w:p w:rsidR="0040614A" w:rsidRDefault="0040614A">
      <w:pPr>
        <w:pStyle w:val="21"/>
        <w:spacing w:line="240" w:lineRule="auto"/>
        <w:ind w:firstLine="851"/>
      </w:pPr>
      <w:r>
        <w:t xml:space="preserve">В 1999 году доля частных инвестиции в общем объеме  инвестиций в основной капитал по формам собственности сохранилась примерно на уровне  предыдущего года и составила 25,9%,  хотя в период 1995-1998 годов наблюдалась тенденция к ее устойчивому росту. </w:t>
      </w:r>
    </w:p>
    <w:p w:rsidR="0040614A" w:rsidRDefault="0040614A">
      <w:pPr>
        <w:pStyle w:val="21"/>
        <w:spacing w:line="240" w:lineRule="auto"/>
        <w:ind w:firstLine="851"/>
      </w:pPr>
      <w:r>
        <w:t xml:space="preserve">Основная доля частных инвестиций формируется за счет средств индивидуальных застройщиков, и можно было ожидать, что с изменением уровня доходов и величины сбережений населения инвестиционные возможности  и потенциальный круг инвесторов сузится. Однако, даже в этих сложных условиях сохранилась приоритетность вложения средств в жилищное строительство.  </w:t>
      </w:r>
    </w:p>
    <w:p w:rsidR="0040614A" w:rsidRDefault="0040614A">
      <w:pPr>
        <w:pStyle w:val="21"/>
        <w:spacing w:line="240" w:lineRule="auto"/>
        <w:ind w:firstLine="851"/>
      </w:pPr>
      <w:r>
        <w:t xml:space="preserve">После банковского кризиса процесс восстановления доверия населения к сберегательным учреждениям протекает с большими трудностями. При сохранении высокой доли сбережений в неорганизованных формах и отсутствии механизма их трансформации в инвестиции национальная экономика несет существенные потери от недоиспользования накопленного инвестиционного потенциала населения. </w:t>
      </w:r>
    </w:p>
    <w:p w:rsidR="0040614A" w:rsidRDefault="0040614A">
      <w:pPr>
        <w:pStyle w:val="10"/>
        <w:widowControl w:val="0"/>
        <w:spacing w:before="0" w:after="0"/>
        <w:ind w:firstLine="709"/>
        <w:jc w:val="both"/>
      </w:pPr>
      <w:r>
        <w:t xml:space="preserve">Следует обратить внимание на следующую особенность в формировании инвестиций по формам собственности, проявившуюся в 1999 году. Изменение конъюнктуры на внутреннем рынке в результате девальвации рубля активизировало деятельность иностранного капитала. Доля инвестиции предприятий с иностранным участием капитала и со 100% иностранным капиталом повысилась на 4,5 процентных пункта и составила 10,7% в общем объеме инвестиций в основной капитал в  1999 году. </w:t>
      </w:r>
    </w:p>
    <w:p w:rsidR="0040614A" w:rsidRDefault="0040614A">
      <w:pPr>
        <w:pStyle w:val="2"/>
        <w:keepNext w:val="0"/>
        <w:spacing w:line="240" w:lineRule="auto"/>
      </w:pPr>
      <w:r>
        <w:t>Таблица 6</w:t>
      </w:r>
    </w:p>
    <w:p w:rsidR="0040614A" w:rsidRDefault="0040614A">
      <w:pPr>
        <w:pStyle w:val="2"/>
        <w:keepNext w:val="0"/>
        <w:spacing w:line="240" w:lineRule="auto"/>
        <w:ind w:firstLine="0"/>
        <w:jc w:val="center"/>
        <w:rPr>
          <w:b/>
          <w:i w:val="0"/>
        </w:rPr>
      </w:pPr>
      <w:r>
        <w:rPr>
          <w:b/>
          <w:i w:val="0"/>
        </w:rPr>
        <w:t>Инвестиции в основной капитал по формам собственности (в ценах соответствующих лет)</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134"/>
        <w:gridCol w:w="1134"/>
        <w:gridCol w:w="2693"/>
      </w:tblGrid>
      <w:tr w:rsidR="0040614A">
        <w:tc>
          <w:tcPr>
            <w:tcW w:w="4111" w:type="dxa"/>
          </w:tcPr>
          <w:p w:rsidR="0040614A" w:rsidRDefault="0040614A">
            <w:pPr>
              <w:rPr>
                <w:i/>
              </w:rPr>
            </w:pPr>
          </w:p>
        </w:tc>
        <w:tc>
          <w:tcPr>
            <w:tcW w:w="1134" w:type="dxa"/>
          </w:tcPr>
          <w:p w:rsidR="0040614A" w:rsidRDefault="0040614A">
            <w:pPr>
              <w:rPr>
                <w:i/>
              </w:rPr>
            </w:pPr>
            <w:r>
              <w:rPr>
                <w:i/>
              </w:rPr>
              <w:t>1997</w:t>
            </w:r>
          </w:p>
        </w:tc>
        <w:tc>
          <w:tcPr>
            <w:tcW w:w="1134" w:type="dxa"/>
          </w:tcPr>
          <w:p w:rsidR="0040614A" w:rsidRDefault="0040614A">
            <w:pPr>
              <w:rPr>
                <w:i/>
              </w:rPr>
            </w:pPr>
            <w:r>
              <w:rPr>
                <w:i/>
              </w:rPr>
              <w:t xml:space="preserve">1998 </w:t>
            </w:r>
          </w:p>
        </w:tc>
        <w:tc>
          <w:tcPr>
            <w:tcW w:w="2693" w:type="dxa"/>
          </w:tcPr>
          <w:p w:rsidR="0040614A" w:rsidRDefault="0040614A">
            <w:pPr>
              <w:rPr>
                <w:i/>
              </w:rPr>
            </w:pPr>
            <w:r>
              <w:rPr>
                <w:i/>
              </w:rPr>
              <w:t xml:space="preserve">1999 </w:t>
            </w:r>
          </w:p>
        </w:tc>
      </w:tr>
      <w:tr w:rsidR="0040614A">
        <w:tc>
          <w:tcPr>
            <w:tcW w:w="4111" w:type="dxa"/>
          </w:tcPr>
          <w:p w:rsidR="0040614A" w:rsidRDefault="0040614A">
            <w:pPr>
              <w:pStyle w:val="1"/>
              <w:keepNext w:val="0"/>
              <w:spacing w:line="240" w:lineRule="auto"/>
              <w:ind w:firstLine="0"/>
              <w:jc w:val="left"/>
              <w:rPr>
                <w:b w:val="0"/>
                <w:i w:val="0"/>
                <w:sz w:val="20"/>
              </w:rPr>
            </w:pPr>
            <w:r>
              <w:rPr>
                <w:b w:val="0"/>
                <w:i w:val="0"/>
                <w:sz w:val="20"/>
              </w:rPr>
              <w:t>Инвестиции в основной капитал</w:t>
            </w:r>
          </w:p>
        </w:tc>
        <w:tc>
          <w:tcPr>
            <w:tcW w:w="1134" w:type="dxa"/>
          </w:tcPr>
          <w:p w:rsidR="0040614A" w:rsidRDefault="0040614A">
            <w:pPr>
              <w:rPr>
                <w:i/>
              </w:rPr>
            </w:pPr>
            <w:r>
              <w:rPr>
                <w:i/>
              </w:rPr>
              <w:t>100,0</w:t>
            </w:r>
          </w:p>
        </w:tc>
        <w:tc>
          <w:tcPr>
            <w:tcW w:w="1134" w:type="dxa"/>
          </w:tcPr>
          <w:p w:rsidR="0040614A" w:rsidRDefault="0040614A">
            <w:pPr>
              <w:rPr>
                <w:i/>
              </w:rPr>
            </w:pPr>
            <w:r>
              <w:rPr>
                <w:i/>
              </w:rPr>
              <w:t>100,0</w:t>
            </w:r>
          </w:p>
        </w:tc>
        <w:tc>
          <w:tcPr>
            <w:tcW w:w="2693" w:type="dxa"/>
          </w:tcPr>
          <w:p w:rsidR="0040614A" w:rsidRDefault="0040614A">
            <w:pPr>
              <w:rPr>
                <w:i/>
              </w:rPr>
            </w:pPr>
            <w:r>
              <w:rPr>
                <w:i/>
              </w:rPr>
              <w:t>100,0</w:t>
            </w:r>
          </w:p>
        </w:tc>
      </w:tr>
      <w:tr w:rsidR="0040614A">
        <w:tc>
          <w:tcPr>
            <w:tcW w:w="4111" w:type="dxa"/>
          </w:tcPr>
          <w:p w:rsidR="0040614A" w:rsidRDefault="0040614A">
            <w:pPr>
              <w:rPr>
                <w:i/>
              </w:rPr>
            </w:pPr>
            <w:r>
              <w:rPr>
                <w:i/>
              </w:rPr>
              <w:t>из них по формам собственности:</w:t>
            </w:r>
          </w:p>
        </w:tc>
        <w:tc>
          <w:tcPr>
            <w:tcW w:w="1134" w:type="dxa"/>
          </w:tcPr>
          <w:p w:rsidR="0040614A" w:rsidRDefault="0040614A">
            <w:pPr>
              <w:rPr>
                <w:i/>
              </w:rPr>
            </w:pPr>
          </w:p>
        </w:tc>
        <w:tc>
          <w:tcPr>
            <w:tcW w:w="1134" w:type="dxa"/>
          </w:tcPr>
          <w:p w:rsidR="0040614A" w:rsidRDefault="0040614A">
            <w:pPr>
              <w:rPr>
                <w:i/>
              </w:rPr>
            </w:pPr>
          </w:p>
        </w:tc>
        <w:tc>
          <w:tcPr>
            <w:tcW w:w="2693" w:type="dxa"/>
          </w:tcPr>
          <w:p w:rsidR="0040614A" w:rsidRDefault="0040614A">
            <w:pPr>
              <w:rPr>
                <w:i/>
              </w:rPr>
            </w:pPr>
          </w:p>
        </w:tc>
      </w:tr>
      <w:tr w:rsidR="0040614A">
        <w:tc>
          <w:tcPr>
            <w:tcW w:w="4111" w:type="dxa"/>
          </w:tcPr>
          <w:p w:rsidR="0040614A" w:rsidRDefault="0040614A">
            <w:pPr>
              <w:rPr>
                <w:i/>
              </w:rPr>
            </w:pPr>
            <w:r>
              <w:rPr>
                <w:i/>
              </w:rPr>
              <w:t>государственная</w:t>
            </w:r>
          </w:p>
        </w:tc>
        <w:tc>
          <w:tcPr>
            <w:tcW w:w="1134" w:type="dxa"/>
          </w:tcPr>
          <w:p w:rsidR="0040614A" w:rsidRDefault="0040614A">
            <w:pPr>
              <w:rPr>
                <w:i/>
              </w:rPr>
            </w:pPr>
            <w:r>
              <w:rPr>
                <w:i/>
              </w:rPr>
              <w:t>24,5</w:t>
            </w:r>
          </w:p>
        </w:tc>
        <w:tc>
          <w:tcPr>
            <w:tcW w:w="1134" w:type="dxa"/>
          </w:tcPr>
          <w:p w:rsidR="0040614A" w:rsidRDefault="0040614A">
            <w:pPr>
              <w:pStyle w:val="a4"/>
              <w:jc w:val="left"/>
              <w:rPr>
                <w:i w:val="0"/>
              </w:rPr>
            </w:pPr>
            <w:r>
              <w:rPr>
                <w:i w:val="0"/>
              </w:rPr>
              <w:t>22,3,0</w:t>
            </w:r>
          </w:p>
        </w:tc>
        <w:tc>
          <w:tcPr>
            <w:tcW w:w="2693" w:type="dxa"/>
          </w:tcPr>
          <w:p w:rsidR="0040614A" w:rsidRDefault="0040614A">
            <w:pPr>
              <w:rPr>
                <w:i/>
              </w:rPr>
            </w:pPr>
            <w:r>
              <w:rPr>
                <w:i/>
              </w:rPr>
              <w:t>21,3</w:t>
            </w:r>
          </w:p>
        </w:tc>
      </w:tr>
      <w:tr w:rsidR="0040614A">
        <w:tc>
          <w:tcPr>
            <w:tcW w:w="4111" w:type="dxa"/>
          </w:tcPr>
          <w:p w:rsidR="0040614A" w:rsidRDefault="0040614A">
            <w:pPr>
              <w:rPr>
                <w:i/>
              </w:rPr>
            </w:pPr>
            <w:r>
              <w:rPr>
                <w:i/>
              </w:rPr>
              <w:t>частная</w:t>
            </w:r>
          </w:p>
        </w:tc>
        <w:tc>
          <w:tcPr>
            <w:tcW w:w="1134" w:type="dxa"/>
          </w:tcPr>
          <w:p w:rsidR="0040614A" w:rsidRDefault="0040614A">
            <w:pPr>
              <w:rPr>
                <w:i/>
              </w:rPr>
            </w:pPr>
            <w:r>
              <w:rPr>
                <w:i/>
              </w:rPr>
              <w:t>22,7</w:t>
            </w:r>
          </w:p>
        </w:tc>
        <w:tc>
          <w:tcPr>
            <w:tcW w:w="1134" w:type="dxa"/>
          </w:tcPr>
          <w:p w:rsidR="0040614A" w:rsidRDefault="0040614A">
            <w:pPr>
              <w:rPr>
                <w:i/>
              </w:rPr>
            </w:pPr>
            <w:r>
              <w:rPr>
                <w:i/>
              </w:rPr>
              <w:t>25,7</w:t>
            </w:r>
          </w:p>
        </w:tc>
        <w:tc>
          <w:tcPr>
            <w:tcW w:w="2693" w:type="dxa"/>
          </w:tcPr>
          <w:p w:rsidR="0040614A" w:rsidRDefault="0040614A">
            <w:pPr>
              <w:rPr>
                <w:i/>
              </w:rPr>
            </w:pPr>
            <w:r>
              <w:rPr>
                <w:i/>
              </w:rPr>
              <w:t>259</w:t>
            </w:r>
          </w:p>
        </w:tc>
      </w:tr>
      <w:tr w:rsidR="0040614A">
        <w:tc>
          <w:tcPr>
            <w:tcW w:w="4111" w:type="dxa"/>
          </w:tcPr>
          <w:p w:rsidR="0040614A" w:rsidRDefault="0040614A">
            <w:pPr>
              <w:rPr>
                <w:i/>
              </w:rPr>
            </w:pPr>
            <w:r>
              <w:rPr>
                <w:i/>
              </w:rPr>
              <w:t xml:space="preserve">смешанная российская </w:t>
            </w:r>
          </w:p>
        </w:tc>
        <w:tc>
          <w:tcPr>
            <w:tcW w:w="1134" w:type="dxa"/>
          </w:tcPr>
          <w:p w:rsidR="0040614A" w:rsidRDefault="0040614A">
            <w:pPr>
              <w:rPr>
                <w:i/>
              </w:rPr>
            </w:pPr>
            <w:r>
              <w:rPr>
                <w:i/>
              </w:rPr>
              <w:t>43,0</w:t>
            </w:r>
          </w:p>
        </w:tc>
        <w:tc>
          <w:tcPr>
            <w:tcW w:w="1134" w:type="dxa"/>
          </w:tcPr>
          <w:p w:rsidR="0040614A" w:rsidRDefault="0040614A">
            <w:pPr>
              <w:rPr>
                <w:i/>
              </w:rPr>
            </w:pPr>
            <w:r>
              <w:rPr>
                <w:i/>
              </w:rPr>
              <w:t>40,6</w:t>
            </w:r>
          </w:p>
        </w:tc>
        <w:tc>
          <w:tcPr>
            <w:tcW w:w="2693" w:type="dxa"/>
          </w:tcPr>
          <w:p w:rsidR="0040614A" w:rsidRDefault="0040614A">
            <w:pPr>
              <w:rPr>
                <w:i/>
              </w:rPr>
            </w:pPr>
            <w:r>
              <w:rPr>
                <w:i/>
              </w:rPr>
              <w:t>373</w:t>
            </w:r>
          </w:p>
        </w:tc>
      </w:tr>
      <w:tr w:rsidR="0040614A">
        <w:tc>
          <w:tcPr>
            <w:tcW w:w="4111" w:type="dxa"/>
          </w:tcPr>
          <w:p w:rsidR="0040614A" w:rsidRDefault="0040614A">
            <w:pPr>
              <w:rPr>
                <w:i/>
              </w:rPr>
            </w:pPr>
            <w:r>
              <w:rPr>
                <w:i/>
              </w:rPr>
              <w:t>иностранная</w:t>
            </w:r>
          </w:p>
        </w:tc>
        <w:tc>
          <w:tcPr>
            <w:tcW w:w="1134" w:type="dxa"/>
          </w:tcPr>
          <w:p w:rsidR="0040614A" w:rsidRDefault="0040614A">
            <w:pPr>
              <w:rPr>
                <w:i/>
              </w:rPr>
            </w:pPr>
            <w:r>
              <w:rPr>
                <w:i/>
              </w:rPr>
              <w:t>1,2</w:t>
            </w:r>
          </w:p>
        </w:tc>
        <w:tc>
          <w:tcPr>
            <w:tcW w:w="1134" w:type="dxa"/>
          </w:tcPr>
          <w:p w:rsidR="0040614A" w:rsidRDefault="0040614A">
            <w:pPr>
              <w:rPr>
                <w:i/>
              </w:rPr>
            </w:pPr>
            <w:r>
              <w:rPr>
                <w:i/>
              </w:rPr>
              <w:t>2,2</w:t>
            </w:r>
          </w:p>
        </w:tc>
        <w:tc>
          <w:tcPr>
            <w:tcW w:w="2693" w:type="dxa"/>
          </w:tcPr>
          <w:p w:rsidR="0040614A" w:rsidRDefault="0040614A">
            <w:pPr>
              <w:rPr>
                <w:i/>
              </w:rPr>
            </w:pPr>
            <w:r>
              <w:rPr>
                <w:i/>
              </w:rPr>
              <w:t>3,2</w:t>
            </w:r>
          </w:p>
        </w:tc>
      </w:tr>
      <w:tr w:rsidR="0040614A">
        <w:tc>
          <w:tcPr>
            <w:tcW w:w="4111" w:type="dxa"/>
          </w:tcPr>
          <w:p w:rsidR="0040614A" w:rsidRDefault="0040614A">
            <w:pPr>
              <w:rPr>
                <w:i/>
              </w:rPr>
            </w:pPr>
            <w:r>
              <w:rPr>
                <w:i/>
              </w:rPr>
              <w:t>смешанная с совместным участием российского и иностранного капитала</w:t>
            </w:r>
          </w:p>
        </w:tc>
        <w:tc>
          <w:tcPr>
            <w:tcW w:w="1134" w:type="dxa"/>
          </w:tcPr>
          <w:p w:rsidR="0040614A" w:rsidRDefault="0040614A">
            <w:pPr>
              <w:rPr>
                <w:i/>
              </w:rPr>
            </w:pPr>
            <w:r>
              <w:rPr>
                <w:i/>
              </w:rPr>
              <w:t>3,1</w:t>
            </w:r>
          </w:p>
        </w:tc>
        <w:tc>
          <w:tcPr>
            <w:tcW w:w="1134" w:type="dxa"/>
          </w:tcPr>
          <w:p w:rsidR="0040614A" w:rsidRDefault="0040614A">
            <w:pPr>
              <w:rPr>
                <w:i/>
              </w:rPr>
            </w:pPr>
            <w:r>
              <w:rPr>
                <w:i/>
              </w:rPr>
              <w:t>4,0</w:t>
            </w:r>
          </w:p>
        </w:tc>
        <w:tc>
          <w:tcPr>
            <w:tcW w:w="2693" w:type="dxa"/>
          </w:tcPr>
          <w:p w:rsidR="0040614A" w:rsidRDefault="0040614A">
            <w:pPr>
              <w:rPr>
                <w:i/>
              </w:rPr>
            </w:pPr>
            <w:r>
              <w:rPr>
                <w:i/>
              </w:rPr>
              <w:t>7,5</w:t>
            </w:r>
          </w:p>
        </w:tc>
      </w:tr>
    </w:tbl>
    <w:p w:rsidR="0040614A" w:rsidRDefault="0040614A">
      <w:pPr>
        <w:pStyle w:val="a7"/>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line="240" w:lineRule="auto"/>
        <w:jc w:val="left"/>
        <w:rPr>
          <w:rFonts w:ascii="Times New Roman" w:hAnsi="Times New Roman"/>
          <w:i w:val="0"/>
        </w:rPr>
      </w:pPr>
      <w:r>
        <w:rPr>
          <w:rFonts w:ascii="Times New Roman" w:hAnsi="Times New Roman"/>
          <w:i w:val="0"/>
          <w:sz w:val="20"/>
        </w:rPr>
        <w:t>Источник: Росстатагентство</w:t>
      </w: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pStyle w:val="a6"/>
        <w:spacing w:line="240" w:lineRule="auto"/>
        <w:ind w:firstLine="0"/>
        <w:jc w:val="left"/>
      </w:pPr>
      <w:r>
        <w:rPr>
          <w:b/>
          <w:sz w:val="28"/>
        </w:rPr>
        <w:t>2.2. Иностранные инвестиции в российскую экономику</w:t>
      </w:r>
    </w:p>
    <w:p w:rsidR="0040614A" w:rsidRDefault="0040614A">
      <w:pPr>
        <w:pStyle w:val="a6"/>
        <w:spacing w:line="240" w:lineRule="auto"/>
      </w:pPr>
    </w:p>
    <w:p w:rsidR="0040614A" w:rsidRDefault="0040614A">
      <w:pPr>
        <w:pStyle w:val="a6"/>
        <w:spacing w:line="240" w:lineRule="auto"/>
        <w:rPr>
          <w:i w:val="0"/>
        </w:rPr>
      </w:pPr>
      <w:r>
        <w:rPr>
          <w:i w:val="0"/>
        </w:rPr>
        <w:t>По состоянию на 1 января 2000 года накопленный иностранный капитал в экономике Российской Федерации составил около 29,25 млрд. долл., включая инвестиции из государств-участников СНГ.</w:t>
      </w:r>
    </w:p>
    <w:p w:rsidR="0040614A" w:rsidRDefault="0040614A">
      <w:pPr>
        <w:pStyle w:val="a6"/>
        <w:spacing w:line="240" w:lineRule="auto"/>
        <w:rPr>
          <w:i w:val="0"/>
        </w:rPr>
      </w:pPr>
      <w:r>
        <w:rPr>
          <w:i w:val="0"/>
        </w:rPr>
        <w:t xml:space="preserve">Общий  объем  иностранных  инвестиций, поступивших  в  нефинансовый  сектор российской экономики без учета органов денежно-кредитного регулирования, коммерческих и сберегательных банков, включая рублевые инвестиции, пересчитанные в доллары США, в 1999 году составил 9,56 млрд. долл.  Основной характеристикой 1999 года является замедление темпов поступления иностранных инвестиций в течение года. В целом, в 1999 году сохранилась тенденция 1998 года к снижению поступлений иностранных вложений в Россию. </w:t>
      </w:r>
      <w:bookmarkStart w:id="0" w:name="_Ref443473627"/>
    </w:p>
    <w:p w:rsidR="0040614A" w:rsidRDefault="0040614A">
      <w:pPr>
        <w:pStyle w:val="a6"/>
        <w:spacing w:line="240" w:lineRule="auto"/>
        <w:jc w:val="right"/>
        <w:rPr>
          <w:b/>
          <w:i w:val="0"/>
        </w:rPr>
      </w:pPr>
      <w:r>
        <w:rPr>
          <w:b/>
          <w:i w:val="0"/>
        </w:rPr>
        <w:t xml:space="preserve">Таблица </w:t>
      </w:r>
      <w:r>
        <w:rPr>
          <w:b/>
          <w:i w:val="0"/>
          <w:noProof/>
        </w:rPr>
        <w:t>1</w:t>
      </w:r>
      <w:bookmarkEnd w:id="0"/>
    </w:p>
    <w:p w:rsidR="0040614A" w:rsidRDefault="0040614A">
      <w:pPr>
        <w:pStyle w:val="22"/>
        <w:outlineLvl w:val="1"/>
        <w:rPr>
          <w:sz w:val="22"/>
        </w:rPr>
      </w:pPr>
      <w:r>
        <w:rPr>
          <w:sz w:val="22"/>
        </w:rPr>
        <w:t>Структура иностранных инвестиций в российскую экономику</w:t>
      </w:r>
    </w:p>
    <w:p w:rsidR="0040614A" w:rsidRDefault="0040614A">
      <w:pPr>
        <w:jc w:val="center"/>
        <w:rPr>
          <w:sz w:val="22"/>
        </w:rPr>
      </w:pPr>
    </w:p>
    <w:tbl>
      <w:tblPr>
        <w:tblW w:w="0" w:type="auto"/>
        <w:tblInd w:w="-38" w:type="dxa"/>
        <w:tblLayout w:type="fixed"/>
        <w:tblCellMar>
          <w:left w:w="30" w:type="dxa"/>
          <w:right w:w="30" w:type="dxa"/>
        </w:tblCellMar>
        <w:tblLook w:val="0000" w:firstRow="0" w:lastRow="0" w:firstColumn="0" w:lastColumn="0" w:noHBand="0" w:noVBand="0"/>
      </w:tblPr>
      <w:tblGrid>
        <w:gridCol w:w="1590"/>
        <w:gridCol w:w="992"/>
        <w:gridCol w:w="992"/>
        <w:gridCol w:w="1008"/>
        <w:gridCol w:w="1008"/>
        <w:gridCol w:w="1008"/>
        <w:gridCol w:w="1008"/>
        <w:gridCol w:w="1008"/>
        <w:gridCol w:w="897"/>
      </w:tblGrid>
      <w:tr w:rsidR="0040614A">
        <w:trPr>
          <w:cantSplit/>
          <w:trHeight w:val="250"/>
        </w:trPr>
        <w:tc>
          <w:tcPr>
            <w:tcW w:w="1590" w:type="dxa"/>
            <w:vMerge w:val="restart"/>
            <w:tcBorders>
              <w:top w:val="single" w:sz="6" w:space="0" w:color="auto"/>
              <w:left w:val="single" w:sz="6" w:space="0" w:color="auto"/>
              <w:right w:val="nil"/>
            </w:tcBorders>
            <w:vAlign w:val="center"/>
          </w:tcPr>
          <w:p w:rsidR="0040614A" w:rsidRDefault="0040614A">
            <w:pPr>
              <w:jc w:val="center"/>
              <w:rPr>
                <w:snapToGrid w:val="0"/>
                <w:color w:val="000000"/>
                <w:sz w:val="22"/>
              </w:rPr>
            </w:pPr>
          </w:p>
        </w:tc>
        <w:tc>
          <w:tcPr>
            <w:tcW w:w="1984" w:type="dxa"/>
            <w:gridSpan w:val="2"/>
            <w:tcBorders>
              <w:top w:val="single" w:sz="6" w:space="0" w:color="auto"/>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1996</w:t>
            </w:r>
          </w:p>
        </w:tc>
        <w:tc>
          <w:tcPr>
            <w:tcW w:w="2016" w:type="dxa"/>
            <w:gridSpan w:val="2"/>
            <w:tcBorders>
              <w:top w:val="single" w:sz="6" w:space="0" w:color="auto"/>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1997</w:t>
            </w:r>
          </w:p>
        </w:tc>
        <w:tc>
          <w:tcPr>
            <w:tcW w:w="2016" w:type="dxa"/>
            <w:gridSpan w:val="2"/>
            <w:tcBorders>
              <w:top w:val="single" w:sz="6" w:space="0" w:color="auto"/>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1998</w:t>
            </w:r>
          </w:p>
        </w:tc>
        <w:tc>
          <w:tcPr>
            <w:tcW w:w="1905" w:type="dxa"/>
            <w:gridSpan w:val="2"/>
            <w:tcBorders>
              <w:top w:val="single" w:sz="6" w:space="0" w:color="auto"/>
              <w:left w:val="single" w:sz="6" w:space="0" w:color="auto"/>
              <w:bottom w:val="single" w:sz="6" w:space="0" w:color="auto"/>
              <w:right w:val="single" w:sz="4" w:space="0" w:color="auto"/>
            </w:tcBorders>
            <w:vAlign w:val="center"/>
          </w:tcPr>
          <w:p w:rsidR="0040614A" w:rsidRDefault="0040614A">
            <w:pPr>
              <w:jc w:val="center"/>
              <w:rPr>
                <w:snapToGrid w:val="0"/>
                <w:color w:val="000000"/>
                <w:sz w:val="22"/>
              </w:rPr>
            </w:pPr>
            <w:r>
              <w:rPr>
                <w:snapToGrid w:val="0"/>
                <w:color w:val="000000"/>
                <w:sz w:val="22"/>
              </w:rPr>
              <w:t xml:space="preserve">1999 </w:t>
            </w:r>
          </w:p>
        </w:tc>
      </w:tr>
      <w:tr w:rsidR="0040614A">
        <w:trPr>
          <w:cantSplit/>
          <w:trHeight w:val="250"/>
        </w:trPr>
        <w:tc>
          <w:tcPr>
            <w:tcW w:w="1590" w:type="dxa"/>
            <w:vMerge/>
            <w:tcBorders>
              <w:left w:val="single" w:sz="6" w:space="0" w:color="auto"/>
              <w:bottom w:val="single" w:sz="6" w:space="0" w:color="auto"/>
              <w:right w:val="nil"/>
            </w:tcBorders>
            <w:vAlign w:val="center"/>
          </w:tcPr>
          <w:p w:rsidR="0040614A" w:rsidRDefault="0040614A">
            <w:pPr>
              <w:jc w:val="center"/>
              <w:rPr>
                <w:snapToGrid w:val="0"/>
                <w:color w:val="000000"/>
                <w:sz w:val="22"/>
              </w:rPr>
            </w:pPr>
          </w:p>
        </w:tc>
        <w:tc>
          <w:tcPr>
            <w:tcW w:w="992"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млн.долл.</w:t>
            </w:r>
          </w:p>
        </w:tc>
        <w:tc>
          <w:tcPr>
            <w:tcW w:w="992"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доля в %</w:t>
            </w:r>
          </w:p>
        </w:tc>
        <w:tc>
          <w:tcPr>
            <w:tcW w:w="1008"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Млн.долл.</w:t>
            </w:r>
          </w:p>
        </w:tc>
        <w:tc>
          <w:tcPr>
            <w:tcW w:w="1008"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доля в %</w:t>
            </w:r>
          </w:p>
        </w:tc>
        <w:tc>
          <w:tcPr>
            <w:tcW w:w="1008"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млн.долл.</w:t>
            </w:r>
          </w:p>
        </w:tc>
        <w:tc>
          <w:tcPr>
            <w:tcW w:w="1008"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доля в %</w:t>
            </w:r>
          </w:p>
        </w:tc>
        <w:tc>
          <w:tcPr>
            <w:tcW w:w="1008"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млн.долл.</w:t>
            </w:r>
          </w:p>
        </w:tc>
        <w:tc>
          <w:tcPr>
            <w:tcW w:w="897" w:type="dxa"/>
            <w:tcBorders>
              <w:top w:val="nil"/>
              <w:left w:val="single" w:sz="6" w:space="0" w:color="auto"/>
              <w:bottom w:val="single" w:sz="6" w:space="0" w:color="auto"/>
              <w:right w:val="single" w:sz="4" w:space="0" w:color="auto"/>
            </w:tcBorders>
            <w:vAlign w:val="center"/>
          </w:tcPr>
          <w:p w:rsidR="0040614A" w:rsidRDefault="0040614A">
            <w:pPr>
              <w:jc w:val="center"/>
              <w:rPr>
                <w:snapToGrid w:val="0"/>
                <w:color w:val="000000"/>
                <w:sz w:val="22"/>
              </w:rPr>
            </w:pPr>
            <w:r>
              <w:rPr>
                <w:snapToGrid w:val="0"/>
                <w:color w:val="000000"/>
                <w:sz w:val="22"/>
              </w:rPr>
              <w:t>доля в %</w:t>
            </w:r>
          </w:p>
        </w:tc>
      </w:tr>
      <w:tr w:rsidR="0040614A">
        <w:trPr>
          <w:trHeight w:val="305"/>
        </w:trPr>
        <w:tc>
          <w:tcPr>
            <w:tcW w:w="1590" w:type="dxa"/>
            <w:tcBorders>
              <w:top w:val="nil"/>
              <w:left w:val="single" w:sz="6" w:space="0" w:color="auto"/>
              <w:bottom w:val="nil"/>
              <w:right w:val="nil"/>
            </w:tcBorders>
            <w:vAlign w:val="center"/>
          </w:tcPr>
          <w:p w:rsidR="0040614A" w:rsidRDefault="0040614A">
            <w:pPr>
              <w:jc w:val="center"/>
              <w:rPr>
                <w:b/>
                <w:snapToGrid w:val="0"/>
                <w:color w:val="000000"/>
                <w:sz w:val="22"/>
              </w:rPr>
            </w:pPr>
            <w:r>
              <w:rPr>
                <w:b/>
                <w:snapToGrid w:val="0"/>
                <w:color w:val="000000"/>
                <w:sz w:val="22"/>
              </w:rPr>
              <w:t>Всего</w:t>
            </w:r>
          </w:p>
        </w:tc>
        <w:tc>
          <w:tcPr>
            <w:tcW w:w="992" w:type="dxa"/>
            <w:tcBorders>
              <w:top w:val="nil"/>
              <w:left w:val="single" w:sz="6" w:space="0" w:color="auto"/>
              <w:bottom w:val="nil"/>
              <w:right w:val="nil"/>
            </w:tcBorders>
            <w:vAlign w:val="center"/>
          </w:tcPr>
          <w:p w:rsidR="0040614A" w:rsidRDefault="0040614A">
            <w:pPr>
              <w:jc w:val="center"/>
              <w:rPr>
                <w:b/>
                <w:snapToGrid w:val="0"/>
                <w:color w:val="000000"/>
                <w:sz w:val="22"/>
              </w:rPr>
            </w:pPr>
            <w:r>
              <w:rPr>
                <w:b/>
                <w:snapToGrid w:val="0"/>
                <w:color w:val="000000"/>
                <w:sz w:val="22"/>
              </w:rPr>
              <w:t>6970</w:t>
            </w:r>
          </w:p>
        </w:tc>
        <w:tc>
          <w:tcPr>
            <w:tcW w:w="992" w:type="dxa"/>
            <w:tcBorders>
              <w:top w:val="nil"/>
              <w:left w:val="single" w:sz="6" w:space="0" w:color="auto"/>
              <w:bottom w:val="nil"/>
              <w:right w:val="nil"/>
            </w:tcBorders>
            <w:vAlign w:val="center"/>
          </w:tcPr>
          <w:p w:rsidR="0040614A" w:rsidRDefault="0040614A">
            <w:pPr>
              <w:jc w:val="center"/>
              <w:rPr>
                <w:b/>
                <w:snapToGrid w:val="0"/>
                <w:color w:val="000000"/>
                <w:sz w:val="22"/>
              </w:rPr>
            </w:pPr>
            <w:r>
              <w:rPr>
                <w:b/>
                <w:snapToGrid w:val="0"/>
                <w:color w:val="000000"/>
                <w:sz w:val="22"/>
              </w:rPr>
              <w:t>100</w:t>
            </w:r>
          </w:p>
        </w:tc>
        <w:tc>
          <w:tcPr>
            <w:tcW w:w="1008" w:type="dxa"/>
            <w:tcBorders>
              <w:top w:val="nil"/>
              <w:left w:val="single" w:sz="6" w:space="0" w:color="auto"/>
              <w:bottom w:val="nil"/>
              <w:right w:val="nil"/>
            </w:tcBorders>
            <w:vAlign w:val="center"/>
          </w:tcPr>
          <w:p w:rsidR="0040614A" w:rsidRDefault="0040614A">
            <w:pPr>
              <w:jc w:val="center"/>
              <w:rPr>
                <w:b/>
                <w:snapToGrid w:val="0"/>
                <w:color w:val="000000"/>
                <w:sz w:val="22"/>
              </w:rPr>
            </w:pPr>
            <w:r>
              <w:rPr>
                <w:b/>
                <w:snapToGrid w:val="0"/>
                <w:color w:val="000000"/>
                <w:sz w:val="22"/>
              </w:rPr>
              <w:t>12295</w:t>
            </w:r>
          </w:p>
        </w:tc>
        <w:tc>
          <w:tcPr>
            <w:tcW w:w="1008" w:type="dxa"/>
            <w:tcBorders>
              <w:top w:val="nil"/>
              <w:left w:val="single" w:sz="6" w:space="0" w:color="auto"/>
              <w:bottom w:val="nil"/>
              <w:right w:val="nil"/>
            </w:tcBorders>
            <w:vAlign w:val="center"/>
          </w:tcPr>
          <w:p w:rsidR="0040614A" w:rsidRDefault="0040614A">
            <w:pPr>
              <w:jc w:val="center"/>
              <w:rPr>
                <w:b/>
                <w:snapToGrid w:val="0"/>
                <w:color w:val="000000"/>
                <w:sz w:val="22"/>
              </w:rPr>
            </w:pPr>
            <w:r>
              <w:rPr>
                <w:b/>
                <w:snapToGrid w:val="0"/>
                <w:color w:val="000000"/>
                <w:sz w:val="22"/>
              </w:rPr>
              <w:t>100</w:t>
            </w:r>
          </w:p>
        </w:tc>
        <w:tc>
          <w:tcPr>
            <w:tcW w:w="1008" w:type="dxa"/>
            <w:tcBorders>
              <w:top w:val="nil"/>
              <w:left w:val="single" w:sz="6" w:space="0" w:color="auto"/>
              <w:bottom w:val="nil"/>
              <w:right w:val="nil"/>
            </w:tcBorders>
            <w:vAlign w:val="center"/>
          </w:tcPr>
          <w:p w:rsidR="0040614A" w:rsidRDefault="0040614A">
            <w:pPr>
              <w:jc w:val="center"/>
              <w:rPr>
                <w:b/>
                <w:snapToGrid w:val="0"/>
                <w:color w:val="000000"/>
                <w:sz w:val="22"/>
              </w:rPr>
            </w:pPr>
            <w:r>
              <w:rPr>
                <w:b/>
                <w:snapToGrid w:val="0"/>
                <w:color w:val="000000"/>
                <w:sz w:val="22"/>
              </w:rPr>
              <w:t>11773</w:t>
            </w:r>
          </w:p>
        </w:tc>
        <w:tc>
          <w:tcPr>
            <w:tcW w:w="1008" w:type="dxa"/>
            <w:tcBorders>
              <w:top w:val="nil"/>
              <w:left w:val="single" w:sz="6" w:space="0" w:color="auto"/>
              <w:bottom w:val="nil"/>
              <w:right w:val="nil"/>
            </w:tcBorders>
            <w:vAlign w:val="center"/>
          </w:tcPr>
          <w:p w:rsidR="0040614A" w:rsidRDefault="0040614A">
            <w:pPr>
              <w:jc w:val="center"/>
              <w:rPr>
                <w:b/>
                <w:snapToGrid w:val="0"/>
                <w:color w:val="000000"/>
                <w:sz w:val="22"/>
              </w:rPr>
            </w:pPr>
            <w:r>
              <w:rPr>
                <w:b/>
                <w:snapToGrid w:val="0"/>
                <w:color w:val="000000"/>
                <w:sz w:val="22"/>
              </w:rPr>
              <w:t>100</w:t>
            </w:r>
          </w:p>
        </w:tc>
        <w:tc>
          <w:tcPr>
            <w:tcW w:w="1008" w:type="dxa"/>
            <w:tcBorders>
              <w:top w:val="nil"/>
              <w:left w:val="single" w:sz="6" w:space="0" w:color="auto"/>
              <w:bottom w:val="nil"/>
              <w:right w:val="nil"/>
            </w:tcBorders>
            <w:vAlign w:val="center"/>
          </w:tcPr>
          <w:p w:rsidR="0040614A" w:rsidRDefault="0040614A">
            <w:pPr>
              <w:spacing w:before="120"/>
              <w:ind w:left="-57" w:right="227"/>
              <w:jc w:val="right"/>
              <w:rPr>
                <w:b/>
                <w:sz w:val="22"/>
              </w:rPr>
            </w:pPr>
            <w:r>
              <w:rPr>
                <w:b/>
                <w:sz w:val="22"/>
              </w:rPr>
              <w:t>9560</w:t>
            </w:r>
          </w:p>
        </w:tc>
        <w:tc>
          <w:tcPr>
            <w:tcW w:w="897" w:type="dxa"/>
            <w:tcBorders>
              <w:top w:val="nil"/>
              <w:left w:val="single" w:sz="6" w:space="0" w:color="auto"/>
              <w:bottom w:val="nil"/>
              <w:right w:val="single" w:sz="4" w:space="0" w:color="auto"/>
            </w:tcBorders>
            <w:vAlign w:val="center"/>
          </w:tcPr>
          <w:p w:rsidR="0040614A" w:rsidRDefault="0040614A">
            <w:pPr>
              <w:jc w:val="center"/>
              <w:rPr>
                <w:b/>
                <w:snapToGrid w:val="0"/>
                <w:color w:val="000000"/>
                <w:sz w:val="22"/>
              </w:rPr>
            </w:pPr>
            <w:r>
              <w:rPr>
                <w:b/>
                <w:snapToGrid w:val="0"/>
                <w:color w:val="000000"/>
                <w:sz w:val="22"/>
              </w:rPr>
              <w:t>100</w:t>
            </w:r>
          </w:p>
        </w:tc>
      </w:tr>
      <w:tr w:rsidR="0040614A">
        <w:trPr>
          <w:trHeight w:val="250"/>
        </w:trPr>
        <w:tc>
          <w:tcPr>
            <w:tcW w:w="1590"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в том числе:</w:t>
            </w:r>
          </w:p>
        </w:tc>
        <w:tc>
          <w:tcPr>
            <w:tcW w:w="992" w:type="dxa"/>
            <w:tcBorders>
              <w:top w:val="nil"/>
              <w:left w:val="single" w:sz="6" w:space="0" w:color="auto"/>
              <w:bottom w:val="nil"/>
              <w:right w:val="nil"/>
            </w:tcBorders>
            <w:vAlign w:val="center"/>
          </w:tcPr>
          <w:p w:rsidR="0040614A" w:rsidRDefault="0040614A">
            <w:pPr>
              <w:jc w:val="center"/>
              <w:rPr>
                <w:snapToGrid w:val="0"/>
                <w:color w:val="000000"/>
                <w:sz w:val="22"/>
              </w:rPr>
            </w:pPr>
          </w:p>
        </w:tc>
        <w:tc>
          <w:tcPr>
            <w:tcW w:w="992" w:type="dxa"/>
            <w:tcBorders>
              <w:top w:val="nil"/>
              <w:left w:val="single" w:sz="6" w:space="0" w:color="auto"/>
              <w:bottom w:val="nil"/>
              <w:right w:val="nil"/>
            </w:tcBorders>
            <w:vAlign w:val="center"/>
          </w:tcPr>
          <w:p w:rsidR="0040614A" w:rsidRDefault="0040614A">
            <w:pPr>
              <w:jc w:val="center"/>
              <w:rPr>
                <w:snapToGrid w:val="0"/>
                <w:color w:val="000000"/>
                <w:sz w:val="22"/>
              </w:rPr>
            </w:pP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p>
        </w:tc>
        <w:tc>
          <w:tcPr>
            <w:tcW w:w="1008" w:type="dxa"/>
            <w:tcBorders>
              <w:top w:val="nil"/>
              <w:left w:val="single" w:sz="6" w:space="0" w:color="auto"/>
              <w:bottom w:val="nil"/>
              <w:right w:val="nil"/>
            </w:tcBorders>
            <w:vAlign w:val="center"/>
          </w:tcPr>
          <w:p w:rsidR="0040614A" w:rsidRDefault="0040614A">
            <w:pPr>
              <w:spacing w:before="60"/>
              <w:ind w:left="-57" w:right="227"/>
              <w:jc w:val="right"/>
              <w:rPr>
                <w:sz w:val="22"/>
              </w:rPr>
            </w:pPr>
          </w:p>
        </w:tc>
        <w:tc>
          <w:tcPr>
            <w:tcW w:w="897" w:type="dxa"/>
            <w:tcBorders>
              <w:top w:val="nil"/>
              <w:left w:val="single" w:sz="6" w:space="0" w:color="auto"/>
              <w:bottom w:val="nil"/>
              <w:right w:val="single" w:sz="4" w:space="0" w:color="auto"/>
            </w:tcBorders>
            <w:vAlign w:val="center"/>
          </w:tcPr>
          <w:p w:rsidR="0040614A" w:rsidRDefault="0040614A">
            <w:pPr>
              <w:jc w:val="center"/>
              <w:rPr>
                <w:snapToGrid w:val="0"/>
                <w:color w:val="000000"/>
                <w:sz w:val="22"/>
              </w:rPr>
            </w:pPr>
          </w:p>
        </w:tc>
      </w:tr>
      <w:tr w:rsidR="0040614A">
        <w:trPr>
          <w:trHeight w:val="389"/>
        </w:trPr>
        <w:tc>
          <w:tcPr>
            <w:tcW w:w="1590"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 прямые</w:t>
            </w:r>
          </w:p>
        </w:tc>
        <w:tc>
          <w:tcPr>
            <w:tcW w:w="992"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2440</w:t>
            </w:r>
          </w:p>
        </w:tc>
        <w:tc>
          <w:tcPr>
            <w:tcW w:w="992"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35,01</w:t>
            </w: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5333</w:t>
            </w: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43,38</w:t>
            </w: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3361</w:t>
            </w: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28,55</w:t>
            </w:r>
          </w:p>
        </w:tc>
        <w:tc>
          <w:tcPr>
            <w:tcW w:w="1008" w:type="dxa"/>
            <w:tcBorders>
              <w:top w:val="nil"/>
              <w:left w:val="single" w:sz="6" w:space="0" w:color="auto"/>
              <w:bottom w:val="nil"/>
              <w:right w:val="nil"/>
            </w:tcBorders>
            <w:vAlign w:val="center"/>
          </w:tcPr>
          <w:p w:rsidR="0040614A" w:rsidRDefault="0040614A">
            <w:pPr>
              <w:spacing w:before="60"/>
              <w:ind w:left="-57" w:right="227"/>
              <w:jc w:val="right"/>
              <w:rPr>
                <w:sz w:val="22"/>
              </w:rPr>
            </w:pPr>
            <w:r>
              <w:rPr>
                <w:sz w:val="22"/>
              </w:rPr>
              <w:t>4260</w:t>
            </w:r>
          </w:p>
        </w:tc>
        <w:tc>
          <w:tcPr>
            <w:tcW w:w="897" w:type="dxa"/>
            <w:tcBorders>
              <w:top w:val="nil"/>
              <w:left w:val="single" w:sz="6" w:space="0" w:color="auto"/>
              <w:bottom w:val="nil"/>
              <w:right w:val="single" w:sz="4" w:space="0" w:color="auto"/>
            </w:tcBorders>
            <w:vAlign w:val="center"/>
          </w:tcPr>
          <w:p w:rsidR="0040614A" w:rsidRDefault="0040614A">
            <w:pPr>
              <w:spacing w:before="60"/>
              <w:ind w:left="-57" w:right="227"/>
              <w:jc w:val="right"/>
              <w:rPr>
                <w:sz w:val="22"/>
              </w:rPr>
            </w:pPr>
            <w:r>
              <w:rPr>
                <w:sz w:val="22"/>
              </w:rPr>
              <w:t>44,6</w:t>
            </w:r>
          </w:p>
        </w:tc>
      </w:tr>
      <w:tr w:rsidR="0040614A">
        <w:trPr>
          <w:trHeight w:val="326"/>
        </w:trPr>
        <w:tc>
          <w:tcPr>
            <w:tcW w:w="1590"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 портфельные</w:t>
            </w:r>
          </w:p>
        </w:tc>
        <w:tc>
          <w:tcPr>
            <w:tcW w:w="992"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128</w:t>
            </w:r>
          </w:p>
        </w:tc>
        <w:tc>
          <w:tcPr>
            <w:tcW w:w="992"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1,84</w:t>
            </w: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681</w:t>
            </w: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5,54</w:t>
            </w: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191</w:t>
            </w:r>
          </w:p>
        </w:tc>
        <w:tc>
          <w:tcPr>
            <w:tcW w:w="1008" w:type="dxa"/>
            <w:tcBorders>
              <w:top w:val="nil"/>
              <w:left w:val="single" w:sz="6" w:space="0" w:color="auto"/>
              <w:bottom w:val="nil"/>
              <w:right w:val="nil"/>
            </w:tcBorders>
            <w:vAlign w:val="center"/>
          </w:tcPr>
          <w:p w:rsidR="0040614A" w:rsidRDefault="0040614A">
            <w:pPr>
              <w:jc w:val="center"/>
              <w:rPr>
                <w:snapToGrid w:val="0"/>
                <w:color w:val="000000"/>
                <w:sz w:val="22"/>
              </w:rPr>
            </w:pPr>
            <w:r>
              <w:rPr>
                <w:snapToGrid w:val="0"/>
                <w:color w:val="000000"/>
                <w:sz w:val="22"/>
              </w:rPr>
              <w:t>1,62</w:t>
            </w:r>
          </w:p>
        </w:tc>
        <w:tc>
          <w:tcPr>
            <w:tcW w:w="1008" w:type="dxa"/>
            <w:tcBorders>
              <w:top w:val="nil"/>
              <w:left w:val="single" w:sz="6" w:space="0" w:color="auto"/>
              <w:bottom w:val="nil"/>
              <w:right w:val="nil"/>
            </w:tcBorders>
            <w:vAlign w:val="center"/>
          </w:tcPr>
          <w:p w:rsidR="0040614A" w:rsidRDefault="0040614A">
            <w:pPr>
              <w:spacing w:before="60"/>
              <w:ind w:left="-57" w:right="227"/>
              <w:jc w:val="right"/>
              <w:rPr>
                <w:sz w:val="22"/>
              </w:rPr>
            </w:pPr>
            <w:r>
              <w:rPr>
                <w:sz w:val="22"/>
              </w:rPr>
              <w:t>31</w:t>
            </w:r>
          </w:p>
        </w:tc>
        <w:tc>
          <w:tcPr>
            <w:tcW w:w="897" w:type="dxa"/>
            <w:tcBorders>
              <w:top w:val="nil"/>
              <w:left w:val="single" w:sz="6" w:space="0" w:color="auto"/>
              <w:bottom w:val="nil"/>
              <w:right w:val="single" w:sz="4" w:space="0" w:color="auto"/>
            </w:tcBorders>
            <w:vAlign w:val="center"/>
          </w:tcPr>
          <w:p w:rsidR="0040614A" w:rsidRDefault="0040614A">
            <w:pPr>
              <w:spacing w:before="60"/>
              <w:ind w:left="-57" w:right="227"/>
              <w:jc w:val="right"/>
              <w:rPr>
                <w:sz w:val="22"/>
              </w:rPr>
            </w:pPr>
            <w:r>
              <w:rPr>
                <w:sz w:val="22"/>
              </w:rPr>
              <w:t>0,3</w:t>
            </w:r>
          </w:p>
        </w:tc>
      </w:tr>
      <w:tr w:rsidR="0040614A">
        <w:trPr>
          <w:trHeight w:val="283"/>
        </w:trPr>
        <w:tc>
          <w:tcPr>
            <w:tcW w:w="1590"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 прочие</w:t>
            </w:r>
          </w:p>
        </w:tc>
        <w:tc>
          <w:tcPr>
            <w:tcW w:w="992"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4402</w:t>
            </w:r>
          </w:p>
        </w:tc>
        <w:tc>
          <w:tcPr>
            <w:tcW w:w="992"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63,16</w:t>
            </w:r>
          </w:p>
        </w:tc>
        <w:tc>
          <w:tcPr>
            <w:tcW w:w="1008"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6281</w:t>
            </w:r>
          </w:p>
        </w:tc>
        <w:tc>
          <w:tcPr>
            <w:tcW w:w="1008"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51,09</w:t>
            </w:r>
          </w:p>
        </w:tc>
        <w:tc>
          <w:tcPr>
            <w:tcW w:w="1008"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8221</w:t>
            </w:r>
          </w:p>
        </w:tc>
        <w:tc>
          <w:tcPr>
            <w:tcW w:w="1008" w:type="dxa"/>
            <w:tcBorders>
              <w:top w:val="nil"/>
              <w:left w:val="single" w:sz="6" w:space="0" w:color="auto"/>
              <w:bottom w:val="single" w:sz="6" w:space="0" w:color="auto"/>
              <w:right w:val="nil"/>
            </w:tcBorders>
            <w:vAlign w:val="center"/>
          </w:tcPr>
          <w:p w:rsidR="0040614A" w:rsidRDefault="0040614A">
            <w:pPr>
              <w:jc w:val="center"/>
              <w:rPr>
                <w:snapToGrid w:val="0"/>
                <w:color w:val="000000"/>
                <w:sz w:val="22"/>
              </w:rPr>
            </w:pPr>
            <w:r>
              <w:rPr>
                <w:snapToGrid w:val="0"/>
                <w:color w:val="000000"/>
                <w:sz w:val="22"/>
              </w:rPr>
              <w:t>69,83</w:t>
            </w:r>
          </w:p>
        </w:tc>
        <w:tc>
          <w:tcPr>
            <w:tcW w:w="1008" w:type="dxa"/>
            <w:tcBorders>
              <w:top w:val="nil"/>
              <w:left w:val="single" w:sz="6" w:space="0" w:color="auto"/>
              <w:bottom w:val="single" w:sz="6" w:space="0" w:color="auto"/>
              <w:right w:val="nil"/>
            </w:tcBorders>
            <w:vAlign w:val="center"/>
          </w:tcPr>
          <w:p w:rsidR="0040614A" w:rsidRDefault="0040614A">
            <w:pPr>
              <w:spacing w:before="60"/>
              <w:ind w:left="-57" w:right="227"/>
              <w:jc w:val="right"/>
              <w:rPr>
                <w:sz w:val="22"/>
              </w:rPr>
            </w:pPr>
            <w:r>
              <w:rPr>
                <w:sz w:val="22"/>
              </w:rPr>
              <w:t>5269</w:t>
            </w:r>
          </w:p>
        </w:tc>
        <w:tc>
          <w:tcPr>
            <w:tcW w:w="897" w:type="dxa"/>
            <w:tcBorders>
              <w:top w:val="nil"/>
              <w:left w:val="single" w:sz="6" w:space="0" w:color="auto"/>
              <w:bottom w:val="single" w:sz="6" w:space="0" w:color="auto"/>
              <w:right w:val="single" w:sz="4" w:space="0" w:color="auto"/>
            </w:tcBorders>
            <w:vAlign w:val="center"/>
          </w:tcPr>
          <w:p w:rsidR="0040614A" w:rsidRDefault="0040614A">
            <w:pPr>
              <w:spacing w:before="60"/>
              <w:ind w:left="-57" w:right="227"/>
              <w:jc w:val="right"/>
              <w:rPr>
                <w:sz w:val="22"/>
              </w:rPr>
            </w:pPr>
            <w:r>
              <w:rPr>
                <w:sz w:val="22"/>
              </w:rPr>
              <w:t>55,1</w:t>
            </w:r>
          </w:p>
        </w:tc>
      </w:tr>
    </w:tbl>
    <w:p w:rsidR="0040614A" w:rsidRDefault="0040614A">
      <w:pPr>
        <w:widowControl w:val="0"/>
        <w:ind w:firstLine="720"/>
        <w:jc w:val="both"/>
        <w:rPr>
          <w:i/>
        </w:rPr>
      </w:pPr>
      <w:r>
        <w:rPr>
          <w:i/>
        </w:rPr>
        <w:t>Источник: Госкомстат России.</w:t>
      </w:r>
    </w:p>
    <w:p w:rsidR="0040614A" w:rsidRDefault="0040614A">
      <w:pPr>
        <w:pStyle w:val="a6"/>
        <w:spacing w:line="240" w:lineRule="auto"/>
        <w:jc w:val="right"/>
      </w:pPr>
    </w:p>
    <w:p w:rsidR="0040614A" w:rsidRDefault="0040614A">
      <w:pPr>
        <w:pStyle w:val="a6"/>
        <w:spacing w:line="240" w:lineRule="auto"/>
        <w:rPr>
          <w:i w:val="0"/>
        </w:rPr>
      </w:pPr>
      <w:r>
        <w:rPr>
          <w:i w:val="0"/>
        </w:rPr>
        <w:t xml:space="preserve">Так, в 1999 году произошло существенное сокращение портфельных и прочих инвестиций. Последние снизились по сравнению с 1998 годом на 35,9%, портфельные – в 6,2 раза, составив 5,27 млрд.долл. и 31 млн.долл., соответственно. </w:t>
      </w:r>
    </w:p>
    <w:p w:rsidR="0040614A" w:rsidRDefault="004E7EF7">
      <w:pPr>
        <w:pStyle w:val="a6"/>
        <w:spacing w:line="240" w:lineRule="auto"/>
        <w:ind w:firstLine="0"/>
        <w:jc w:val="center"/>
      </w:pPr>
      <w:r>
        <w:pict>
          <v:shape id="_x0000_i1027" type="#_x0000_t75" style="width:6in;height:217.5pt" fillcolor="window">
            <v:imagedata r:id="rId9" o:title=""/>
          </v:shape>
        </w:pict>
      </w:r>
    </w:p>
    <w:p w:rsidR="0040614A" w:rsidRDefault="0040614A">
      <w:pPr>
        <w:pStyle w:val="a6"/>
        <w:spacing w:line="240" w:lineRule="auto"/>
        <w:rPr>
          <w:i w:val="0"/>
        </w:rPr>
      </w:pPr>
      <w:r>
        <w:rPr>
          <w:i w:val="0"/>
        </w:rPr>
        <w:t>В целом сумма инвестиций снизилась на 19%. Компенсирующее влияние на их динамику оказывал в 1999 году приток прямых зарубежных вложений.</w:t>
      </w:r>
    </w:p>
    <w:p w:rsidR="0040614A" w:rsidRDefault="0040614A">
      <w:pPr>
        <w:pStyle w:val="a6"/>
        <w:spacing w:line="240" w:lineRule="auto"/>
        <w:rPr>
          <w:i w:val="0"/>
        </w:rPr>
      </w:pPr>
      <w:r>
        <w:rPr>
          <w:i w:val="0"/>
        </w:rPr>
        <w:t>Снижение объемов прочих иностранных инвестиций, формирующихся в основном за счет иностранных заемных средств, свидетельствует о непривлекательности российского инвестиционного климата даже в таких традиционно и повсеместно пользующихся повышенным инвестиционным спросом отраслях, как нефтяная и газовая отрасли. В настоящее время в России реальной возможностью привлечения инвестиций, причем не финансовых,  которые в основном носят спекулятивный характер, а прямых инвестиций на долгосрочной основе является проектное финансирование, когда возврат инвестиций обеспечивается за счет финансовых потоков, формирующихся в процессе реализации проекта.</w:t>
      </w:r>
    </w:p>
    <w:p w:rsidR="0040614A" w:rsidRDefault="0040614A">
      <w:pPr>
        <w:ind w:firstLine="709"/>
        <w:jc w:val="both"/>
        <w:rPr>
          <w:rFonts w:ascii="Times New Roman CYR" w:hAnsi="Times New Roman CYR"/>
          <w:sz w:val="24"/>
        </w:rPr>
      </w:pPr>
      <w:r>
        <w:rPr>
          <w:sz w:val="24"/>
        </w:rPr>
        <w:t xml:space="preserve">Отраслевая структура </w:t>
      </w:r>
      <w:r>
        <w:rPr>
          <w:rFonts w:ascii="Times New Roman CYR" w:hAnsi="Times New Roman CYR"/>
          <w:sz w:val="24"/>
        </w:rPr>
        <w:t>привлеченных в Россию иностранных инвестиций</w:t>
      </w:r>
      <w:r>
        <w:rPr>
          <w:sz w:val="24"/>
        </w:rPr>
        <w:t xml:space="preserve">, как и в 1998 году, характеризуется лидирующей ролью промышленности, </w:t>
      </w:r>
      <w:r>
        <w:rPr>
          <w:rFonts w:ascii="Times New Roman CYR" w:hAnsi="Times New Roman CYR"/>
          <w:sz w:val="24"/>
        </w:rPr>
        <w:t>вложения в которую по итогам 1999 года составили 4876 млн.долл., что на 3,8% выше уровня предыдущего года. Однако, при значительном сокращении иностранных вложений в сферы коммерческой деятельность по обслуживанию рынка, финансов, страхования и пенсионного обеспечения, доля промышленности в совокупных объемах иностранных инвестиций в российскую экономику выросла на 11,1%.</w:t>
      </w:r>
    </w:p>
    <w:p w:rsidR="0040614A" w:rsidRDefault="0040614A">
      <w:pPr>
        <w:pStyle w:val="a8"/>
        <w:jc w:val="right"/>
        <w:rPr>
          <w:b w:val="0"/>
          <w:i/>
        </w:rPr>
      </w:pPr>
      <w:r>
        <w:rPr>
          <w:b w:val="0"/>
          <w:i/>
        </w:rPr>
        <w:t xml:space="preserve">Таблица </w:t>
      </w:r>
      <w:r>
        <w:rPr>
          <w:b w:val="0"/>
          <w:i/>
          <w:noProof/>
        </w:rPr>
        <w:t>2</w:t>
      </w:r>
    </w:p>
    <w:p w:rsidR="0040614A" w:rsidRDefault="0040614A">
      <w:pPr>
        <w:widowControl w:val="0"/>
        <w:ind w:firstLine="720"/>
        <w:jc w:val="center"/>
        <w:outlineLvl w:val="0"/>
        <w:rPr>
          <w:b/>
          <w:sz w:val="22"/>
          <w:lang w:val="en-US"/>
        </w:rPr>
      </w:pPr>
      <w:r>
        <w:rPr>
          <w:b/>
          <w:sz w:val="22"/>
        </w:rPr>
        <w:t>Отраслевая структура иностранных инвестиций</w:t>
      </w:r>
    </w:p>
    <w:p w:rsidR="0040614A" w:rsidRDefault="0040614A">
      <w:pPr>
        <w:widowControl w:val="0"/>
        <w:ind w:firstLine="720"/>
        <w:jc w:val="center"/>
        <w:outlineLvl w:val="0"/>
        <w:rPr>
          <w:b/>
          <w:sz w:val="22"/>
          <w:lang w:val="en-US"/>
        </w:rPr>
      </w:pPr>
    </w:p>
    <w:tbl>
      <w:tblPr>
        <w:tblW w:w="0" w:type="auto"/>
        <w:tblInd w:w="-38" w:type="dxa"/>
        <w:tblLayout w:type="fixed"/>
        <w:tblCellMar>
          <w:left w:w="30" w:type="dxa"/>
          <w:right w:w="30" w:type="dxa"/>
        </w:tblCellMar>
        <w:tblLook w:val="0000" w:firstRow="0" w:lastRow="0" w:firstColumn="0" w:lastColumn="0" w:noHBand="0" w:noVBand="0"/>
      </w:tblPr>
      <w:tblGrid>
        <w:gridCol w:w="2724"/>
        <w:gridCol w:w="992"/>
        <w:gridCol w:w="851"/>
        <w:gridCol w:w="708"/>
        <w:gridCol w:w="834"/>
        <w:gridCol w:w="867"/>
        <w:gridCol w:w="835"/>
        <w:gridCol w:w="866"/>
        <w:gridCol w:w="835"/>
      </w:tblGrid>
      <w:tr w:rsidR="0040614A">
        <w:trPr>
          <w:cantSplit/>
          <w:trHeight w:val="250"/>
        </w:trPr>
        <w:tc>
          <w:tcPr>
            <w:tcW w:w="2724" w:type="dxa"/>
            <w:tcBorders>
              <w:top w:val="single" w:sz="6" w:space="0" w:color="auto"/>
              <w:left w:val="single" w:sz="4" w:space="0" w:color="auto"/>
              <w:bottom w:val="nil"/>
              <w:right w:val="nil"/>
            </w:tcBorders>
          </w:tcPr>
          <w:p w:rsidR="0040614A" w:rsidRDefault="0040614A">
            <w:pPr>
              <w:jc w:val="right"/>
              <w:rPr>
                <w:snapToGrid w:val="0"/>
                <w:color w:val="000000"/>
                <w:sz w:val="22"/>
              </w:rPr>
            </w:pPr>
          </w:p>
        </w:tc>
        <w:tc>
          <w:tcPr>
            <w:tcW w:w="1843" w:type="dxa"/>
            <w:gridSpan w:val="2"/>
            <w:tcBorders>
              <w:top w:val="single" w:sz="6" w:space="0" w:color="auto"/>
              <w:left w:val="single" w:sz="6" w:space="0" w:color="auto"/>
              <w:bottom w:val="single" w:sz="6" w:space="0" w:color="auto"/>
              <w:right w:val="nil"/>
            </w:tcBorders>
          </w:tcPr>
          <w:p w:rsidR="0040614A" w:rsidRDefault="0040614A">
            <w:pPr>
              <w:jc w:val="center"/>
              <w:rPr>
                <w:snapToGrid w:val="0"/>
                <w:color w:val="000000"/>
                <w:sz w:val="22"/>
              </w:rPr>
            </w:pPr>
            <w:r>
              <w:rPr>
                <w:snapToGrid w:val="0"/>
                <w:color w:val="000000"/>
                <w:sz w:val="22"/>
              </w:rPr>
              <w:t>1996</w:t>
            </w:r>
          </w:p>
        </w:tc>
        <w:tc>
          <w:tcPr>
            <w:tcW w:w="1542" w:type="dxa"/>
            <w:gridSpan w:val="2"/>
            <w:tcBorders>
              <w:top w:val="single" w:sz="6" w:space="0" w:color="auto"/>
              <w:left w:val="single" w:sz="6" w:space="0" w:color="auto"/>
              <w:bottom w:val="single" w:sz="6" w:space="0" w:color="auto"/>
              <w:right w:val="nil"/>
            </w:tcBorders>
          </w:tcPr>
          <w:p w:rsidR="0040614A" w:rsidRDefault="0040614A">
            <w:pPr>
              <w:jc w:val="center"/>
              <w:rPr>
                <w:snapToGrid w:val="0"/>
                <w:color w:val="000000"/>
                <w:sz w:val="22"/>
              </w:rPr>
            </w:pPr>
            <w:r>
              <w:rPr>
                <w:snapToGrid w:val="0"/>
                <w:color w:val="000000"/>
                <w:sz w:val="22"/>
              </w:rPr>
              <w:t>1997</w:t>
            </w:r>
          </w:p>
        </w:tc>
        <w:tc>
          <w:tcPr>
            <w:tcW w:w="1702" w:type="dxa"/>
            <w:gridSpan w:val="2"/>
            <w:tcBorders>
              <w:top w:val="single" w:sz="6" w:space="0" w:color="auto"/>
              <w:left w:val="single" w:sz="6" w:space="0" w:color="auto"/>
              <w:bottom w:val="single" w:sz="6" w:space="0" w:color="auto"/>
              <w:right w:val="nil"/>
            </w:tcBorders>
          </w:tcPr>
          <w:p w:rsidR="0040614A" w:rsidRDefault="0040614A">
            <w:pPr>
              <w:jc w:val="center"/>
              <w:rPr>
                <w:snapToGrid w:val="0"/>
                <w:color w:val="000000"/>
                <w:sz w:val="22"/>
              </w:rPr>
            </w:pPr>
            <w:r>
              <w:rPr>
                <w:snapToGrid w:val="0"/>
                <w:color w:val="000000"/>
                <w:sz w:val="22"/>
              </w:rPr>
              <w:t>1998</w:t>
            </w:r>
          </w:p>
        </w:tc>
        <w:tc>
          <w:tcPr>
            <w:tcW w:w="1701" w:type="dxa"/>
            <w:gridSpan w:val="2"/>
            <w:tcBorders>
              <w:top w:val="single" w:sz="6" w:space="0" w:color="auto"/>
              <w:left w:val="single" w:sz="6" w:space="0" w:color="auto"/>
              <w:bottom w:val="single" w:sz="6" w:space="0" w:color="auto"/>
              <w:right w:val="single" w:sz="6" w:space="0" w:color="auto"/>
            </w:tcBorders>
          </w:tcPr>
          <w:p w:rsidR="0040614A" w:rsidRDefault="0040614A">
            <w:pPr>
              <w:jc w:val="center"/>
              <w:rPr>
                <w:snapToGrid w:val="0"/>
                <w:color w:val="000000"/>
                <w:sz w:val="22"/>
              </w:rPr>
            </w:pPr>
            <w:r>
              <w:rPr>
                <w:snapToGrid w:val="0"/>
                <w:color w:val="000000"/>
                <w:sz w:val="22"/>
                <w:lang w:val="en-US"/>
              </w:rPr>
              <w:t xml:space="preserve">1999 </w:t>
            </w:r>
          </w:p>
        </w:tc>
      </w:tr>
      <w:tr w:rsidR="0040614A">
        <w:trPr>
          <w:trHeight w:val="250"/>
        </w:trPr>
        <w:tc>
          <w:tcPr>
            <w:tcW w:w="2724" w:type="dxa"/>
            <w:tcBorders>
              <w:top w:val="nil"/>
              <w:left w:val="single" w:sz="4" w:space="0" w:color="auto"/>
              <w:bottom w:val="single" w:sz="6" w:space="0" w:color="auto"/>
              <w:right w:val="nil"/>
            </w:tcBorders>
          </w:tcPr>
          <w:p w:rsidR="0040614A" w:rsidRDefault="0040614A">
            <w:pPr>
              <w:jc w:val="right"/>
              <w:rPr>
                <w:snapToGrid w:val="0"/>
                <w:color w:val="000000"/>
                <w:sz w:val="22"/>
              </w:rPr>
            </w:pPr>
          </w:p>
        </w:tc>
        <w:tc>
          <w:tcPr>
            <w:tcW w:w="992" w:type="dxa"/>
            <w:tcBorders>
              <w:top w:val="nil"/>
              <w:left w:val="single" w:sz="6" w:space="0" w:color="auto"/>
              <w:bottom w:val="single" w:sz="6" w:space="0" w:color="auto"/>
              <w:right w:val="nil"/>
            </w:tcBorders>
          </w:tcPr>
          <w:p w:rsidR="0040614A" w:rsidRDefault="0040614A">
            <w:pPr>
              <w:jc w:val="center"/>
              <w:rPr>
                <w:snapToGrid w:val="0"/>
                <w:color w:val="000000"/>
                <w:sz w:val="22"/>
              </w:rPr>
            </w:pPr>
            <w:r>
              <w:rPr>
                <w:snapToGrid w:val="0"/>
                <w:color w:val="000000"/>
                <w:sz w:val="22"/>
              </w:rPr>
              <w:t>млн. долл.</w:t>
            </w:r>
          </w:p>
        </w:tc>
        <w:tc>
          <w:tcPr>
            <w:tcW w:w="851" w:type="dxa"/>
            <w:tcBorders>
              <w:top w:val="nil"/>
              <w:left w:val="single" w:sz="6" w:space="0" w:color="auto"/>
              <w:bottom w:val="single" w:sz="6" w:space="0" w:color="auto"/>
              <w:right w:val="single" w:sz="6" w:space="0" w:color="auto"/>
            </w:tcBorders>
          </w:tcPr>
          <w:p w:rsidR="0040614A" w:rsidRDefault="0040614A">
            <w:pPr>
              <w:jc w:val="center"/>
              <w:rPr>
                <w:snapToGrid w:val="0"/>
                <w:color w:val="000000"/>
                <w:sz w:val="22"/>
              </w:rPr>
            </w:pPr>
            <w:r>
              <w:rPr>
                <w:snapToGrid w:val="0"/>
                <w:color w:val="000000"/>
                <w:sz w:val="22"/>
              </w:rPr>
              <w:t xml:space="preserve">Доля в % </w:t>
            </w:r>
          </w:p>
        </w:tc>
        <w:tc>
          <w:tcPr>
            <w:tcW w:w="708" w:type="dxa"/>
            <w:tcBorders>
              <w:top w:val="nil"/>
              <w:left w:val="single" w:sz="6" w:space="0" w:color="auto"/>
              <w:bottom w:val="single" w:sz="6" w:space="0" w:color="auto"/>
              <w:right w:val="nil"/>
            </w:tcBorders>
          </w:tcPr>
          <w:p w:rsidR="0040614A" w:rsidRDefault="0040614A">
            <w:pPr>
              <w:jc w:val="center"/>
              <w:rPr>
                <w:snapToGrid w:val="0"/>
                <w:color w:val="000000"/>
                <w:sz w:val="22"/>
              </w:rPr>
            </w:pPr>
            <w:r>
              <w:rPr>
                <w:snapToGrid w:val="0"/>
                <w:color w:val="000000"/>
                <w:sz w:val="22"/>
              </w:rPr>
              <w:t>млн. долл.</w:t>
            </w:r>
          </w:p>
        </w:tc>
        <w:tc>
          <w:tcPr>
            <w:tcW w:w="834" w:type="dxa"/>
            <w:tcBorders>
              <w:top w:val="nil"/>
              <w:left w:val="single" w:sz="6" w:space="0" w:color="auto"/>
              <w:bottom w:val="single" w:sz="6" w:space="0" w:color="auto"/>
              <w:right w:val="single" w:sz="6" w:space="0" w:color="auto"/>
            </w:tcBorders>
          </w:tcPr>
          <w:p w:rsidR="0040614A" w:rsidRDefault="0040614A">
            <w:pPr>
              <w:jc w:val="center"/>
              <w:rPr>
                <w:snapToGrid w:val="0"/>
                <w:color w:val="000000"/>
                <w:sz w:val="22"/>
              </w:rPr>
            </w:pPr>
            <w:r>
              <w:rPr>
                <w:snapToGrid w:val="0"/>
                <w:color w:val="000000"/>
                <w:sz w:val="22"/>
              </w:rPr>
              <w:t>Доля в %</w:t>
            </w:r>
          </w:p>
        </w:tc>
        <w:tc>
          <w:tcPr>
            <w:tcW w:w="867" w:type="dxa"/>
            <w:tcBorders>
              <w:top w:val="nil"/>
              <w:left w:val="single" w:sz="6" w:space="0" w:color="auto"/>
              <w:bottom w:val="single" w:sz="6" w:space="0" w:color="auto"/>
              <w:right w:val="nil"/>
            </w:tcBorders>
          </w:tcPr>
          <w:p w:rsidR="0040614A" w:rsidRDefault="0040614A">
            <w:pPr>
              <w:jc w:val="center"/>
              <w:rPr>
                <w:snapToGrid w:val="0"/>
                <w:color w:val="000000"/>
                <w:sz w:val="22"/>
              </w:rPr>
            </w:pPr>
            <w:r>
              <w:rPr>
                <w:snapToGrid w:val="0"/>
                <w:color w:val="000000"/>
                <w:sz w:val="22"/>
              </w:rPr>
              <w:t>млн. долл.</w:t>
            </w:r>
          </w:p>
        </w:tc>
        <w:tc>
          <w:tcPr>
            <w:tcW w:w="835" w:type="dxa"/>
            <w:tcBorders>
              <w:top w:val="nil"/>
              <w:left w:val="single" w:sz="6" w:space="0" w:color="auto"/>
              <w:bottom w:val="single" w:sz="6" w:space="0" w:color="auto"/>
              <w:right w:val="nil"/>
            </w:tcBorders>
          </w:tcPr>
          <w:p w:rsidR="0040614A" w:rsidRDefault="0040614A">
            <w:pPr>
              <w:jc w:val="center"/>
              <w:rPr>
                <w:snapToGrid w:val="0"/>
                <w:color w:val="000000"/>
                <w:sz w:val="22"/>
              </w:rPr>
            </w:pPr>
            <w:r>
              <w:rPr>
                <w:snapToGrid w:val="0"/>
                <w:color w:val="000000"/>
                <w:sz w:val="22"/>
              </w:rPr>
              <w:t>доля в %</w:t>
            </w:r>
          </w:p>
        </w:tc>
        <w:tc>
          <w:tcPr>
            <w:tcW w:w="866" w:type="dxa"/>
            <w:tcBorders>
              <w:top w:val="nil"/>
              <w:left w:val="single" w:sz="6" w:space="0" w:color="auto"/>
              <w:bottom w:val="single" w:sz="6" w:space="0" w:color="auto"/>
              <w:right w:val="nil"/>
            </w:tcBorders>
          </w:tcPr>
          <w:p w:rsidR="0040614A" w:rsidRDefault="0040614A">
            <w:pPr>
              <w:jc w:val="center"/>
              <w:rPr>
                <w:snapToGrid w:val="0"/>
                <w:color w:val="000000"/>
                <w:sz w:val="22"/>
              </w:rPr>
            </w:pPr>
            <w:r>
              <w:rPr>
                <w:snapToGrid w:val="0"/>
                <w:color w:val="000000"/>
                <w:sz w:val="22"/>
              </w:rPr>
              <w:t>млн. долл.</w:t>
            </w:r>
          </w:p>
        </w:tc>
        <w:tc>
          <w:tcPr>
            <w:tcW w:w="835" w:type="dxa"/>
            <w:tcBorders>
              <w:top w:val="nil"/>
              <w:left w:val="single" w:sz="6" w:space="0" w:color="auto"/>
              <w:bottom w:val="single" w:sz="6" w:space="0" w:color="auto"/>
              <w:right w:val="single" w:sz="6" w:space="0" w:color="auto"/>
            </w:tcBorders>
          </w:tcPr>
          <w:p w:rsidR="0040614A" w:rsidRDefault="0040614A">
            <w:pPr>
              <w:jc w:val="center"/>
              <w:rPr>
                <w:snapToGrid w:val="0"/>
                <w:color w:val="000000"/>
                <w:sz w:val="22"/>
              </w:rPr>
            </w:pPr>
            <w:r>
              <w:rPr>
                <w:snapToGrid w:val="0"/>
                <w:color w:val="000000"/>
                <w:sz w:val="22"/>
              </w:rPr>
              <w:t>доля в %</w:t>
            </w:r>
          </w:p>
        </w:tc>
      </w:tr>
      <w:tr w:rsidR="0040614A">
        <w:trPr>
          <w:trHeight w:val="240"/>
        </w:trPr>
        <w:tc>
          <w:tcPr>
            <w:tcW w:w="2724" w:type="dxa"/>
            <w:tcBorders>
              <w:top w:val="nil"/>
              <w:left w:val="single" w:sz="4" w:space="0" w:color="auto"/>
              <w:bottom w:val="nil"/>
              <w:right w:val="single" w:sz="6" w:space="0" w:color="auto"/>
            </w:tcBorders>
            <w:vAlign w:val="bottom"/>
          </w:tcPr>
          <w:p w:rsidR="0040614A" w:rsidRDefault="0040614A">
            <w:pPr>
              <w:rPr>
                <w:snapToGrid w:val="0"/>
                <w:color w:val="000000"/>
                <w:sz w:val="22"/>
              </w:rPr>
            </w:pPr>
            <w:r>
              <w:rPr>
                <w:snapToGrid w:val="0"/>
                <w:color w:val="000000"/>
                <w:sz w:val="22"/>
              </w:rPr>
              <w:t>Промышленность</w:t>
            </w:r>
          </w:p>
        </w:tc>
        <w:tc>
          <w:tcPr>
            <w:tcW w:w="992"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2278</w:t>
            </w:r>
          </w:p>
        </w:tc>
        <w:tc>
          <w:tcPr>
            <w:tcW w:w="851"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32,68</w:t>
            </w:r>
          </w:p>
        </w:tc>
        <w:tc>
          <w:tcPr>
            <w:tcW w:w="708"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3610</w:t>
            </w:r>
          </w:p>
        </w:tc>
        <w:tc>
          <w:tcPr>
            <w:tcW w:w="834"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29,36</w:t>
            </w:r>
          </w:p>
        </w:tc>
        <w:tc>
          <w:tcPr>
            <w:tcW w:w="867"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4698</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39,90</w:t>
            </w:r>
          </w:p>
        </w:tc>
        <w:tc>
          <w:tcPr>
            <w:tcW w:w="866"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4876</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51</w:t>
            </w:r>
          </w:p>
        </w:tc>
      </w:tr>
      <w:tr w:rsidR="0040614A">
        <w:trPr>
          <w:trHeight w:val="240"/>
        </w:trPr>
        <w:tc>
          <w:tcPr>
            <w:tcW w:w="2724" w:type="dxa"/>
            <w:tcBorders>
              <w:top w:val="nil"/>
              <w:left w:val="single" w:sz="4" w:space="0" w:color="auto"/>
              <w:bottom w:val="nil"/>
              <w:right w:val="single" w:sz="6" w:space="0" w:color="auto"/>
            </w:tcBorders>
            <w:vAlign w:val="bottom"/>
          </w:tcPr>
          <w:p w:rsidR="0040614A" w:rsidRDefault="0040614A">
            <w:pPr>
              <w:rPr>
                <w:snapToGrid w:val="0"/>
                <w:color w:val="000000"/>
                <w:sz w:val="22"/>
              </w:rPr>
            </w:pPr>
            <w:r>
              <w:rPr>
                <w:snapToGrid w:val="0"/>
                <w:color w:val="000000"/>
                <w:sz w:val="22"/>
              </w:rPr>
              <w:t>Транспорт и связь</w:t>
            </w:r>
          </w:p>
        </w:tc>
        <w:tc>
          <w:tcPr>
            <w:tcW w:w="992"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269</w:t>
            </w:r>
          </w:p>
        </w:tc>
        <w:tc>
          <w:tcPr>
            <w:tcW w:w="851"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3,86</w:t>
            </w:r>
          </w:p>
        </w:tc>
        <w:tc>
          <w:tcPr>
            <w:tcW w:w="708"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194</w:t>
            </w:r>
          </w:p>
        </w:tc>
        <w:tc>
          <w:tcPr>
            <w:tcW w:w="834"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1,58</w:t>
            </w:r>
          </w:p>
        </w:tc>
        <w:tc>
          <w:tcPr>
            <w:tcW w:w="867"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589</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5,00</w:t>
            </w:r>
          </w:p>
        </w:tc>
        <w:tc>
          <w:tcPr>
            <w:tcW w:w="866"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907</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9,5</w:t>
            </w:r>
          </w:p>
        </w:tc>
      </w:tr>
      <w:tr w:rsidR="0040614A">
        <w:trPr>
          <w:trHeight w:val="240"/>
        </w:trPr>
        <w:tc>
          <w:tcPr>
            <w:tcW w:w="2724" w:type="dxa"/>
            <w:tcBorders>
              <w:top w:val="nil"/>
              <w:left w:val="single" w:sz="4" w:space="0" w:color="auto"/>
              <w:bottom w:val="nil"/>
              <w:right w:val="single" w:sz="6" w:space="0" w:color="auto"/>
            </w:tcBorders>
            <w:vAlign w:val="bottom"/>
          </w:tcPr>
          <w:p w:rsidR="0040614A" w:rsidRDefault="0040614A">
            <w:pPr>
              <w:rPr>
                <w:snapToGrid w:val="0"/>
                <w:color w:val="000000"/>
                <w:sz w:val="22"/>
              </w:rPr>
            </w:pPr>
            <w:r>
              <w:rPr>
                <w:snapToGrid w:val="0"/>
                <w:color w:val="000000"/>
                <w:sz w:val="22"/>
              </w:rPr>
              <w:t>Торговля и общественное питание</w:t>
            </w:r>
          </w:p>
        </w:tc>
        <w:tc>
          <w:tcPr>
            <w:tcW w:w="992"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375</w:t>
            </w:r>
          </w:p>
        </w:tc>
        <w:tc>
          <w:tcPr>
            <w:tcW w:w="851"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5,38</w:t>
            </w:r>
          </w:p>
        </w:tc>
        <w:tc>
          <w:tcPr>
            <w:tcW w:w="708"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733</w:t>
            </w:r>
          </w:p>
        </w:tc>
        <w:tc>
          <w:tcPr>
            <w:tcW w:w="834"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5,96</w:t>
            </w:r>
          </w:p>
        </w:tc>
        <w:tc>
          <w:tcPr>
            <w:tcW w:w="867"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1201</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10,20</w:t>
            </w:r>
          </w:p>
        </w:tc>
        <w:tc>
          <w:tcPr>
            <w:tcW w:w="866"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1622</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17</w:t>
            </w:r>
          </w:p>
        </w:tc>
      </w:tr>
      <w:tr w:rsidR="0040614A">
        <w:trPr>
          <w:trHeight w:val="240"/>
        </w:trPr>
        <w:tc>
          <w:tcPr>
            <w:tcW w:w="2724" w:type="dxa"/>
            <w:tcBorders>
              <w:top w:val="nil"/>
              <w:left w:val="single" w:sz="4" w:space="0" w:color="auto"/>
              <w:bottom w:val="nil"/>
              <w:right w:val="single" w:sz="6" w:space="0" w:color="auto"/>
            </w:tcBorders>
            <w:vAlign w:val="bottom"/>
          </w:tcPr>
          <w:p w:rsidR="0040614A" w:rsidRDefault="0040614A">
            <w:pPr>
              <w:rPr>
                <w:snapToGrid w:val="0"/>
                <w:color w:val="000000"/>
                <w:sz w:val="22"/>
              </w:rPr>
            </w:pPr>
            <w:r>
              <w:rPr>
                <w:snapToGrid w:val="0"/>
                <w:color w:val="000000"/>
                <w:sz w:val="22"/>
              </w:rPr>
              <w:t>Коммерческая деятельность по обслуживанию рынка</w:t>
            </w:r>
          </w:p>
        </w:tc>
        <w:tc>
          <w:tcPr>
            <w:tcW w:w="992"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1629</w:t>
            </w:r>
          </w:p>
        </w:tc>
        <w:tc>
          <w:tcPr>
            <w:tcW w:w="851"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23,37</w:t>
            </w:r>
          </w:p>
        </w:tc>
        <w:tc>
          <w:tcPr>
            <w:tcW w:w="708"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2299</w:t>
            </w:r>
          </w:p>
        </w:tc>
        <w:tc>
          <w:tcPr>
            <w:tcW w:w="834"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18,70</w:t>
            </w:r>
          </w:p>
        </w:tc>
        <w:tc>
          <w:tcPr>
            <w:tcW w:w="867"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1426</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12,11</w:t>
            </w:r>
          </w:p>
        </w:tc>
        <w:tc>
          <w:tcPr>
            <w:tcW w:w="866"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190</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2</w:t>
            </w:r>
          </w:p>
        </w:tc>
      </w:tr>
      <w:tr w:rsidR="0040614A">
        <w:trPr>
          <w:trHeight w:val="240"/>
        </w:trPr>
        <w:tc>
          <w:tcPr>
            <w:tcW w:w="2724" w:type="dxa"/>
            <w:tcBorders>
              <w:top w:val="nil"/>
              <w:left w:val="single" w:sz="4" w:space="0" w:color="auto"/>
              <w:bottom w:val="nil"/>
              <w:right w:val="single" w:sz="6" w:space="0" w:color="auto"/>
            </w:tcBorders>
            <w:vAlign w:val="bottom"/>
          </w:tcPr>
          <w:p w:rsidR="0040614A" w:rsidRDefault="0040614A">
            <w:pPr>
              <w:rPr>
                <w:snapToGrid w:val="0"/>
                <w:color w:val="000000"/>
                <w:sz w:val="22"/>
              </w:rPr>
            </w:pPr>
            <w:r>
              <w:rPr>
                <w:snapToGrid w:val="0"/>
                <w:color w:val="000000"/>
                <w:sz w:val="22"/>
              </w:rPr>
              <w:t xml:space="preserve">Финансы, кредит, страхование, пенсионное обеспечение </w:t>
            </w:r>
          </w:p>
        </w:tc>
        <w:tc>
          <w:tcPr>
            <w:tcW w:w="992"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2024</w:t>
            </w:r>
          </w:p>
        </w:tc>
        <w:tc>
          <w:tcPr>
            <w:tcW w:w="851"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29,04</w:t>
            </w:r>
          </w:p>
        </w:tc>
        <w:tc>
          <w:tcPr>
            <w:tcW w:w="708"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4763</w:t>
            </w:r>
          </w:p>
        </w:tc>
        <w:tc>
          <w:tcPr>
            <w:tcW w:w="834"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38,74</w:t>
            </w:r>
          </w:p>
        </w:tc>
        <w:tc>
          <w:tcPr>
            <w:tcW w:w="867"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900</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7,64</w:t>
            </w:r>
          </w:p>
        </w:tc>
        <w:tc>
          <w:tcPr>
            <w:tcW w:w="866"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114</w:t>
            </w:r>
          </w:p>
        </w:tc>
        <w:tc>
          <w:tcPr>
            <w:tcW w:w="835" w:type="dxa"/>
            <w:tcBorders>
              <w:top w:val="nil"/>
              <w:left w:val="nil"/>
              <w:bottom w:val="nil"/>
              <w:right w:val="single" w:sz="6" w:space="0" w:color="auto"/>
            </w:tcBorders>
            <w:vAlign w:val="bottom"/>
          </w:tcPr>
          <w:p w:rsidR="0040614A" w:rsidRDefault="0040614A">
            <w:pPr>
              <w:jc w:val="center"/>
              <w:rPr>
                <w:snapToGrid w:val="0"/>
                <w:color w:val="000000"/>
                <w:sz w:val="22"/>
              </w:rPr>
            </w:pPr>
            <w:r>
              <w:rPr>
                <w:snapToGrid w:val="0"/>
                <w:color w:val="000000"/>
                <w:sz w:val="22"/>
              </w:rPr>
              <w:t>1,2</w:t>
            </w:r>
          </w:p>
        </w:tc>
      </w:tr>
      <w:tr w:rsidR="0040614A">
        <w:trPr>
          <w:trHeight w:val="240"/>
        </w:trPr>
        <w:tc>
          <w:tcPr>
            <w:tcW w:w="2724" w:type="dxa"/>
            <w:tcBorders>
              <w:top w:val="nil"/>
              <w:left w:val="single" w:sz="4" w:space="0" w:color="auto"/>
              <w:bottom w:val="single" w:sz="6" w:space="0" w:color="auto"/>
              <w:right w:val="single" w:sz="6" w:space="0" w:color="auto"/>
            </w:tcBorders>
            <w:vAlign w:val="bottom"/>
          </w:tcPr>
          <w:p w:rsidR="0040614A" w:rsidRDefault="0040614A">
            <w:pPr>
              <w:rPr>
                <w:snapToGrid w:val="0"/>
                <w:color w:val="000000"/>
                <w:sz w:val="22"/>
              </w:rPr>
            </w:pPr>
            <w:r>
              <w:rPr>
                <w:snapToGrid w:val="0"/>
                <w:color w:val="000000"/>
                <w:sz w:val="22"/>
              </w:rPr>
              <w:t>Прочие отрасли</w:t>
            </w:r>
          </w:p>
        </w:tc>
        <w:tc>
          <w:tcPr>
            <w:tcW w:w="992" w:type="dxa"/>
            <w:tcBorders>
              <w:top w:val="nil"/>
              <w:left w:val="nil"/>
              <w:bottom w:val="single" w:sz="6" w:space="0" w:color="auto"/>
              <w:right w:val="single" w:sz="6" w:space="0" w:color="auto"/>
            </w:tcBorders>
            <w:vAlign w:val="bottom"/>
          </w:tcPr>
          <w:p w:rsidR="0040614A" w:rsidRDefault="0040614A">
            <w:pPr>
              <w:jc w:val="center"/>
              <w:rPr>
                <w:snapToGrid w:val="0"/>
                <w:color w:val="000000"/>
                <w:sz w:val="22"/>
              </w:rPr>
            </w:pPr>
            <w:r>
              <w:rPr>
                <w:snapToGrid w:val="0"/>
                <w:color w:val="000000"/>
                <w:sz w:val="22"/>
              </w:rPr>
              <w:t>395</w:t>
            </w:r>
          </w:p>
        </w:tc>
        <w:tc>
          <w:tcPr>
            <w:tcW w:w="851" w:type="dxa"/>
            <w:tcBorders>
              <w:top w:val="nil"/>
              <w:left w:val="nil"/>
              <w:bottom w:val="single" w:sz="6" w:space="0" w:color="auto"/>
              <w:right w:val="single" w:sz="6" w:space="0" w:color="auto"/>
            </w:tcBorders>
            <w:vAlign w:val="bottom"/>
          </w:tcPr>
          <w:p w:rsidR="0040614A" w:rsidRDefault="0040614A">
            <w:pPr>
              <w:jc w:val="center"/>
              <w:rPr>
                <w:snapToGrid w:val="0"/>
                <w:color w:val="000000"/>
                <w:sz w:val="22"/>
              </w:rPr>
            </w:pPr>
            <w:r>
              <w:rPr>
                <w:snapToGrid w:val="0"/>
                <w:color w:val="000000"/>
                <w:sz w:val="22"/>
              </w:rPr>
              <w:t>5,67</w:t>
            </w:r>
          </w:p>
        </w:tc>
        <w:tc>
          <w:tcPr>
            <w:tcW w:w="708" w:type="dxa"/>
            <w:tcBorders>
              <w:top w:val="nil"/>
              <w:left w:val="nil"/>
              <w:bottom w:val="single" w:sz="6" w:space="0" w:color="auto"/>
              <w:right w:val="single" w:sz="6" w:space="0" w:color="auto"/>
            </w:tcBorders>
            <w:vAlign w:val="bottom"/>
          </w:tcPr>
          <w:p w:rsidR="0040614A" w:rsidRDefault="0040614A">
            <w:pPr>
              <w:jc w:val="center"/>
              <w:rPr>
                <w:snapToGrid w:val="0"/>
                <w:color w:val="000000"/>
                <w:sz w:val="22"/>
              </w:rPr>
            </w:pPr>
            <w:r>
              <w:rPr>
                <w:snapToGrid w:val="0"/>
                <w:color w:val="000000"/>
                <w:sz w:val="22"/>
              </w:rPr>
              <w:t>696</w:t>
            </w:r>
          </w:p>
        </w:tc>
        <w:tc>
          <w:tcPr>
            <w:tcW w:w="834" w:type="dxa"/>
            <w:tcBorders>
              <w:top w:val="nil"/>
              <w:left w:val="nil"/>
              <w:bottom w:val="single" w:sz="6" w:space="0" w:color="auto"/>
              <w:right w:val="single" w:sz="6" w:space="0" w:color="auto"/>
            </w:tcBorders>
            <w:vAlign w:val="bottom"/>
          </w:tcPr>
          <w:p w:rsidR="0040614A" w:rsidRDefault="0040614A">
            <w:pPr>
              <w:jc w:val="center"/>
              <w:rPr>
                <w:snapToGrid w:val="0"/>
                <w:color w:val="000000"/>
                <w:sz w:val="22"/>
              </w:rPr>
            </w:pPr>
            <w:r>
              <w:rPr>
                <w:snapToGrid w:val="0"/>
                <w:color w:val="000000"/>
                <w:sz w:val="22"/>
              </w:rPr>
              <w:t>5,66</w:t>
            </w:r>
          </w:p>
        </w:tc>
        <w:tc>
          <w:tcPr>
            <w:tcW w:w="867" w:type="dxa"/>
            <w:tcBorders>
              <w:top w:val="nil"/>
              <w:left w:val="nil"/>
              <w:bottom w:val="single" w:sz="6" w:space="0" w:color="auto"/>
              <w:right w:val="single" w:sz="6" w:space="0" w:color="auto"/>
            </w:tcBorders>
            <w:vAlign w:val="bottom"/>
          </w:tcPr>
          <w:p w:rsidR="0040614A" w:rsidRDefault="0040614A">
            <w:pPr>
              <w:jc w:val="center"/>
              <w:rPr>
                <w:snapToGrid w:val="0"/>
                <w:color w:val="000000"/>
                <w:sz w:val="22"/>
              </w:rPr>
            </w:pPr>
            <w:r>
              <w:rPr>
                <w:snapToGrid w:val="0"/>
                <w:color w:val="000000"/>
                <w:sz w:val="22"/>
              </w:rPr>
              <w:t>2959</w:t>
            </w:r>
          </w:p>
        </w:tc>
        <w:tc>
          <w:tcPr>
            <w:tcW w:w="835" w:type="dxa"/>
            <w:tcBorders>
              <w:top w:val="nil"/>
              <w:left w:val="nil"/>
              <w:bottom w:val="single" w:sz="6" w:space="0" w:color="auto"/>
              <w:right w:val="single" w:sz="6" w:space="0" w:color="auto"/>
            </w:tcBorders>
            <w:vAlign w:val="bottom"/>
          </w:tcPr>
          <w:p w:rsidR="0040614A" w:rsidRDefault="0040614A">
            <w:pPr>
              <w:jc w:val="center"/>
              <w:rPr>
                <w:snapToGrid w:val="0"/>
                <w:color w:val="000000"/>
                <w:sz w:val="22"/>
              </w:rPr>
            </w:pPr>
            <w:r>
              <w:rPr>
                <w:snapToGrid w:val="0"/>
                <w:color w:val="000000"/>
                <w:sz w:val="22"/>
              </w:rPr>
              <w:t>25,13</w:t>
            </w:r>
          </w:p>
        </w:tc>
        <w:tc>
          <w:tcPr>
            <w:tcW w:w="866" w:type="dxa"/>
            <w:tcBorders>
              <w:top w:val="nil"/>
              <w:left w:val="nil"/>
              <w:bottom w:val="single" w:sz="6" w:space="0" w:color="auto"/>
              <w:right w:val="single" w:sz="6" w:space="0" w:color="auto"/>
            </w:tcBorders>
            <w:vAlign w:val="bottom"/>
          </w:tcPr>
          <w:p w:rsidR="0040614A" w:rsidRDefault="0040614A">
            <w:pPr>
              <w:jc w:val="center"/>
              <w:rPr>
                <w:snapToGrid w:val="0"/>
                <w:color w:val="000000"/>
                <w:sz w:val="22"/>
              </w:rPr>
            </w:pPr>
            <w:r>
              <w:rPr>
                <w:snapToGrid w:val="0"/>
                <w:color w:val="000000"/>
                <w:sz w:val="22"/>
              </w:rPr>
              <w:t>1851</w:t>
            </w:r>
          </w:p>
        </w:tc>
        <w:tc>
          <w:tcPr>
            <w:tcW w:w="835" w:type="dxa"/>
            <w:tcBorders>
              <w:top w:val="nil"/>
              <w:left w:val="single" w:sz="6" w:space="0" w:color="auto"/>
              <w:bottom w:val="single" w:sz="6" w:space="0" w:color="auto"/>
              <w:right w:val="single" w:sz="6" w:space="0" w:color="auto"/>
            </w:tcBorders>
            <w:vAlign w:val="bottom"/>
          </w:tcPr>
          <w:p w:rsidR="0040614A" w:rsidRDefault="0040614A">
            <w:pPr>
              <w:jc w:val="center"/>
              <w:rPr>
                <w:snapToGrid w:val="0"/>
                <w:color w:val="000000"/>
                <w:sz w:val="22"/>
              </w:rPr>
            </w:pPr>
            <w:r>
              <w:rPr>
                <w:snapToGrid w:val="0"/>
                <w:color w:val="000000"/>
                <w:sz w:val="22"/>
              </w:rPr>
              <w:t>19,4</w:t>
            </w:r>
          </w:p>
        </w:tc>
      </w:tr>
    </w:tbl>
    <w:p w:rsidR="0040614A" w:rsidRDefault="0040614A">
      <w:pPr>
        <w:widowControl w:val="0"/>
        <w:ind w:firstLine="720"/>
        <w:jc w:val="both"/>
        <w:rPr>
          <w:i/>
        </w:rPr>
      </w:pPr>
      <w:r>
        <w:rPr>
          <w:i/>
        </w:rPr>
        <w:t>Источник: Госкомстат России</w:t>
      </w:r>
    </w:p>
    <w:p w:rsidR="0040614A" w:rsidRDefault="0040614A">
      <w:pPr>
        <w:widowControl w:val="0"/>
        <w:ind w:firstLine="720"/>
        <w:jc w:val="both"/>
        <w:rPr>
          <w:i/>
        </w:rPr>
      </w:pPr>
    </w:p>
    <w:p w:rsidR="0040614A" w:rsidRDefault="0040614A">
      <w:pPr>
        <w:pStyle w:val="21"/>
        <w:spacing w:line="240" w:lineRule="auto"/>
      </w:pPr>
      <w:r>
        <w:t xml:space="preserve">Значительно увеличились в 1999 году доли инвестиций в торговлю и общественное питание, транспорт и связь, в сферу управления (около 42% всех иностранных инвестиций в 1999 году). Анализ отраслевой структуры зарубежных инвестиций свидетельствует о стремлении инвесторов вкладывать средства в отрасли, дающие либо быструю окупаемость, либо обслуживающие конкретные  крупные “точечные” проекты. </w:t>
      </w:r>
    </w:p>
    <w:p w:rsidR="0040614A" w:rsidRDefault="0040614A">
      <w:pPr>
        <w:pStyle w:val="21"/>
        <w:spacing w:line="240" w:lineRule="auto"/>
      </w:pPr>
      <w:r>
        <w:t>В 1999 году из совокупного объема иностранных инвестиций в  промышленность около 53,4 % приходилось на  прямые инвестиции (в 1996 году – 58%, в 1997 и 1998 гг. – приблизительно 35%).</w:t>
      </w:r>
    </w:p>
    <w:p w:rsidR="0040614A" w:rsidRDefault="004E7EF7">
      <w:pPr>
        <w:pStyle w:val="21"/>
        <w:spacing w:line="240" w:lineRule="auto"/>
        <w:ind w:firstLine="0"/>
      </w:pPr>
      <w:r>
        <w:pict>
          <v:shape id="_x0000_i1028" type="#_x0000_t75" style="width:442.5pt;height:230.25pt" fillcolor="window">
            <v:imagedata r:id="rId10" o:title=""/>
          </v:shape>
        </w:pict>
      </w:r>
    </w:p>
    <w:p w:rsidR="0040614A" w:rsidRDefault="0040614A">
      <w:pPr>
        <w:pStyle w:val="21"/>
        <w:spacing w:line="240" w:lineRule="auto"/>
      </w:pPr>
    </w:p>
    <w:p w:rsidR="0040614A" w:rsidRDefault="0040614A">
      <w:pPr>
        <w:pStyle w:val="21"/>
        <w:spacing w:line="240" w:lineRule="auto"/>
      </w:pPr>
      <w:r>
        <w:t xml:space="preserve">Изменение структуры инвестиций в сферу производства в 1999 году произошло за счет переориентации инвесторов с рынка капиталов на инвестиции в экспортные отрасли России и, прежде всего, в топливную промышленность, а также  существенного увеличения вложений в пищевую промышленность. Так, на топливную и пищевую промышленность в 1999 году пришлось 82,7% объема иностранных вложений от прямых инвесторов, направляемых в промышленность.  </w:t>
      </w:r>
    </w:p>
    <w:p w:rsidR="0040614A" w:rsidRDefault="004E7EF7">
      <w:pPr>
        <w:widowControl w:val="0"/>
        <w:jc w:val="center"/>
        <w:rPr>
          <w:sz w:val="24"/>
        </w:rPr>
      </w:pPr>
      <w:r>
        <w:rPr>
          <w:sz w:val="24"/>
        </w:rPr>
        <w:pict>
          <v:shape id="_x0000_i1029" type="#_x0000_t75" style="width:461.25pt;height:230.25pt" fillcolor="window">
            <v:imagedata r:id="rId11" o:title=""/>
          </v:shape>
        </w:pict>
      </w:r>
    </w:p>
    <w:p w:rsidR="0040614A" w:rsidRDefault="0040614A">
      <w:pPr>
        <w:widowControl w:val="0"/>
        <w:jc w:val="center"/>
        <w:rPr>
          <w:sz w:val="24"/>
        </w:rPr>
      </w:pPr>
    </w:p>
    <w:p w:rsidR="0040614A" w:rsidRDefault="0040614A">
      <w:pPr>
        <w:pStyle w:val="a6"/>
        <w:spacing w:line="240" w:lineRule="auto"/>
        <w:rPr>
          <w:i w:val="0"/>
        </w:rPr>
      </w:pPr>
      <w:r>
        <w:rPr>
          <w:i w:val="0"/>
        </w:rPr>
        <w:t>Увеличение доли прямых иностранных инвестиций свидетельствует о стремлении иностранных предпринимателей сформировать в России собственную производственную базу, что позволит существенно снизить стоимость их продукции и более гибко реагировать на ценовую ситуацию на рынке.</w:t>
      </w:r>
    </w:p>
    <w:p w:rsidR="0040614A" w:rsidRDefault="0040614A">
      <w:pPr>
        <w:ind w:firstLine="709"/>
        <w:jc w:val="both"/>
        <w:rPr>
          <w:sz w:val="24"/>
        </w:rPr>
      </w:pPr>
      <w:r>
        <w:rPr>
          <w:sz w:val="24"/>
        </w:rPr>
        <w:t xml:space="preserve">Страновая структура иностранных инвестиций в 1999 году характеризуется снижением уровня концентрации при сохранении лидирующей роли фирм США и сокращении поступлений из Германии. Вслед за США и Германией с долей вдвое меньше следует Великобритания, за ней: Нидерланды, Швейцария и Франция. </w:t>
      </w:r>
    </w:p>
    <w:p w:rsidR="0040614A" w:rsidRDefault="0040614A">
      <w:pPr>
        <w:pStyle w:val="a6"/>
        <w:spacing w:line="240" w:lineRule="auto"/>
        <w:rPr>
          <w:rFonts w:ascii="Times New Roman" w:hAnsi="Times New Roman"/>
          <w:i w:val="0"/>
        </w:rPr>
      </w:pPr>
      <w:r>
        <w:rPr>
          <w:rFonts w:ascii="Times New Roman" w:hAnsi="Times New Roman"/>
          <w:i w:val="0"/>
        </w:rPr>
        <w:t>В 1999 году активизировались притоки капитала из Азиатско-тихоокеанского региона. По итогам года Япония вошла в десятку крупнейших стран-экспортеров капитала в Россию. Накопленные инвестиции из Японии в российскую экономику составили 357 млн.долл. В конце октября 1999 года прошло совещание  по японско-российскому экономическому сотрудничеству, на котором было отмечено о подготовке к реализации семи крупных совместных проектов, среди которых завершение строительства Бурейской ГЭС и строительство газопровода на Камчатке под кредит ЕБРР.</w:t>
      </w:r>
    </w:p>
    <w:p w:rsidR="0040614A" w:rsidRDefault="0040614A">
      <w:pPr>
        <w:ind w:firstLine="709"/>
        <w:jc w:val="both"/>
        <w:rPr>
          <w:sz w:val="24"/>
        </w:rPr>
      </w:pPr>
      <w:r>
        <w:rPr>
          <w:sz w:val="24"/>
        </w:rPr>
        <w:t xml:space="preserve">Иностранные инвесторы из других стран в большинстве случаев участвуют в создании совместных предприятий. При формировании небольшого уставного капитала  иностранные инвесторы увеличивают долю своего участия за счет предоставления кредитных ресурсов и гарантированного сбыты продукции на мировом рынке, а также продвижения продукции на внутреннем рынке. В качестве приоритетного направления инвестирования европейские компании  ориентируются на выбор предприятий обрабатывающей  промышленности. </w:t>
      </w:r>
    </w:p>
    <w:p w:rsidR="0040614A" w:rsidRDefault="0040614A">
      <w:pPr>
        <w:pStyle w:val="a6"/>
        <w:spacing w:line="240" w:lineRule="auto"/>
      </w:pPr>
    </w:p>
    <w:p w:rsidR="0040614A" w:rsidRDefault="004E7EF7">
      <w:pPr>
        <w:pStyle w:val="a6"/>
        <w:spacing w:line="240" w:lineRule="auto"/>
        <w:ind w:firstLine="0"/>
        <w:rPr>
          <w:color w:val="008000"/>
        </w:rPr>
      </w:pPr>
      <w:r>
        <w:rPr>
          <w:color w:val="008000"/>
        </w:rPr>
        <w:pict>
          <v:shape id="_x0000_i1030" type="#_x0000_t75" style="width:444pt;height:225pt" fillcolor="window">
            <v:imagedata r:id="rId12" o:title=""/>
          </v:shape>
        </w:pict>
      </w:r>
    </w:p>
    <w:p w:rsidR="0040614A" w:rsidRDefault="0040614A">
      <w:pPr>
        <w:ind w:firstLine="709"/>
        <w:jc w:val="both"/>
        <w:rPr>
          <w:sz w:val="24"/>
        </w:rPr>
      </w:pPr>
      <w:r>
        <w:rPr>
          <w:sz w:val="24"/>
        </w:rPr>
        <w:t xml:space="preserve">В сентябре 1999 года конгресс США принял решение о прекращении  прямых инвестиций в российскую экономику из средств госбюджета США. Таким образом, инвестиционный фонд «США-Россия», созданный в 1995 году и реализующий в России до 30 проектов (инвестиции осуществлялись в связь, торговлю,  строительство, пищевую и деревообрабатывающую промышленность), общий объем капиталовложений в которые оценивается в 200 млн.долл., в течение ближайших лет намерен освоить оставшиеся 240 млн.долл, выделенные решением конгресса США на инвестиционные цели в России, и перейти на привлечение частных инвестиции. </w:t>
      </w:r>
    </w:p>
    <w:p w:rsidR="0040614A" w:rsidRDefault="0040614A">
      <w:pPr>
        <w:ind w:firstLine="720"/>
        <w:jc w:val="both"/>
        <w:rPr>
          <w:sz w:val="24"/>
        </w:rPr>
      </w:pPr>
      <w:r>
        <w:rPr>
          <w:sz w:val="24"/>
        </w:rPr>
        <w:t>Экономическое развитие российских регионов характеризуется углублением межрегиональных контрастов и продолжающейся концентрацией деятельности иностранных инвесторов в ограниченном числе наиболее динамично развивающихся и стабильных субъектов Российской Федерации. На региональной структуре иностранных инвестиций сказалось их преимущественное привлечение в предприятия ТЭК. Устойчиво сохраняется значимость Москвы, а также Санкт-Петербурга и Московской области как центров деловой активности. Третьим центром притяжения являются приграничные области, такие как Калининградская область, Приморский край.</w:t>
      </w:r>
    </w:p>
    <w:p w:rsidR="0040614A" w:rsidRDefault="004E7EF7">
      <w:pPr>
        <w:pStyle w:val="a6"/>
        <w:spacing w:line="240" w:lineRule="auto"/>
        <w:ind w:firstLine="0"/>
        <w:jc w:val="center"/>
      </w:pPr>
      <w:r>
        <w:pict>
          <v:shape id="_x0000_i1031" type="#_x0000_t75" style="width:432.75pt;height:222pt" fillcolor="window">
            <v:imagedata r:id="rId13" o:title=""/>
          </v:shape>
        </w:pict>
      </w:r>
    </w:p>
    <w:p w:rsidR="0040614A" w:rsidRDefault="0040614A">
      <w:pPr>
        <w:pStyle w:val="a6"/>
        <w:spacing w:line="240" w:lineRule="auto"/>
        <w:rPr>
          <w:i w:val="0"/>
        </w:rPr>
      </w:pPr>
    </w:p>
    <w:p w:rsidR="0040614A" w:rsidRDefault="0040614A">
      <w:pPr>
        <w:pStyle w:val="a6"/>
        <w:spacing w:line="240" w:lineRule="auto"/>
        <w:rPr>
          <w:i w:val="0"/>
        </w:rPr>
      </w:pPr>
      <w:r>
        <w:rPr>
          <w:i w:val="0"/>
        </w:rPr>
        <w:t>Одной из основных причин низкой активности инвесторов является не боязнь финансовых катастроф, а ожидание новых льгот и гарантий. Определяющим фактором для иностранных инвесторов является наличие региональной политики привлечения иностранных инвестиций, прежде всего в аспектах гарантий безопасности инвестиций, залога и страхования, предоставления льгот по налогообложению в той части налоговых сборов и платежей, которые направляются в областной бюджет. В ряде регионов администрация берет на себя функцию основного гаранта по проектам, включенным в перечень республиканских нужд. На сегодняшний день более 30 субъектов имеют свои законы или иные законодательные акты с подробным перечнем инвестиционных проектов и мер их стимулирования и поддержки.</w:t>
      </w:r>
    </w:p>
    <w:p w:rsidR="0040614A" w:rsidRDefault="0040614A">
      <w:pPr>
        <w:pStyle w:val="a6"/>
        <w:spacing w:line="240" w:lineRule="auto"/>
        <w:rPr>
          <w:i w:val="0"/>
        </w:rPr>
      </w:pPr>
      <w:r>
        <w:rPr>
          <w:i w:val="0"/>
        </w:rPr>
        <w:t xml:space="preserve">На федеральном уровне в 1999 году также осуществлялись мероприятия по формированию стабильной нормативно-правовой базы, регулирующей привлечение иностранных инвестиций и экономическую деятельность инвесторов на территории России (в том числе в налогообложении и таможенном контроле).  </w:t>
      </w:r>
    </w:p>
    <w:p w:rsidR="0040614A" w:rsidRDefault="0040614A">
      <w:pPr>
        <w:pStyle w:val="a6"/>
        <w:spacing w:line="240" w:lineRule="auto"/>
        <w:rPr>
          <w:i w:val="0"/>
        </w:rPr>
      </w:pPr>
      <w:r>
        <w:rPr>
          <w:i w:val="0"/>
        </w:rPr>
        <w:t>26 февраля 1999 года принято Постановление правительства «О лизинге машиностроительной продукции в агропромышленном комплексе Российской Федерации с использованием средств федерального бюджета», который предоставляет льготы, напрямую не связанные с иностранными инвестициями, но на которые могут рассчитывать предприятия с иностранными инвестициями и их участники.</w:t>
      </w:r>
    </w:p>
    <w:p w:rsidR="0040614A" w:rsidRDefault="0040614A">
      <w:pPr>
        <w:pStyle w:val="a6"/>
        <w:spacing w:line="240" w:lineRule="auto"/>
        <w:rPr>
          <w:i w:val="0"/>
        </w:rPr>
      </w:pPr>
      <w:r>
        <w:rPr>
          <w:i w:val="0"/>
        </w:rPr>
        <w:t>14 июля 1999 года вступил в силу Федеральный закон «Об иностранных инвестициях в Российской Федерации», который определяет гарантии прав иностранных инвесторов, осуществляющих предпринимательскую деятельность в реальном секторе экономики.</w:t>
      </w:r>
    </w:p>
    <w:p w:rsidR="0040614A" w:rsidRDefault="0040614A">
      <w:pPr>
        <w:pStyle w:val="a6"/>
        <w:spacing w:line="240" w:lineRule="auto"/>
        <w:rPr>
          <w:i w:val="0"/>
        </w:rPr>
      </w:pPr>
      <w:r>
        <w:rPr>
          <w:i w:val="0"/>
        </w:rPr>
        <w:t>Важное значение имеет содействие реализации в России крупномасштабных проектов, которые создают помимо основных производств, необходимую инфраструктуру, способствуют социально-экономическому развитию регионов и оказывают влияние на имидж страны-реципиента. К числу подобных проектов относятся «Сахалин-1» и «Сахалин-2». В 1999 году начата разработка проектов «Сахалин-3» и «Сахалин-4», реализацию которых предполагается осуществить в течение шести лет. Проект «Сахалин-3» направлен на освоение Аяшского и Восточно-Топинского нефтегазоносных месторождений. Объем инвестиций по проекту оценивается в размере 37,1 млрд.долл. В рамках проекта «Сахалин-4» предполагается освоение Астрахановского газоконденсатного месторождения. Объем необходимых капиталовложений в проект оценивается на уровне 2,5 млрд.долл.</w:t>
      </w:r>
    </w:p>
    <w:p w:rsidR="0040614A" w:rsidRDefault="0040614A">
      <w:pPr>
        <w:pStyle w:val="a6"/>
        <w:spacing w:line="240" w:lineRule="auto"/>
        <w:rPr>
          <w:i w:val="0"/>
        </w:rPr>
      </w:pPr>
      <w:r>
        <w:rPr>
          <w:i w:val="0"/>
        </w:rPr>
        <w:t xml:space="preserve">Подготовлен законопроект «О перечне отраслей, производств, видов деятельности и территорий, в которых запрещается или ограничивается деятельность иностранных инвесторов», ведется работа над законопроектом о концессионных договорах, заключаемых с российскими и иностранными инвесторами, и зконопроекта «О нефти и газе», разрабатываются поправки к Закону «О недрах». </w:t>
      </w:r>
    </w:p>
    <w:p w:rsidR="0040614A" w:rsidRDefault="0040614A">
      <w:pPr>
        <w:pStyle w:val="a6"/>
        <w:spacing w:line="240" w:lineRule="auto"/>
        <w:rPr>
          <w:i w:val="0"/>
          <w:color w:val="008000"/>
        </w:rPr>
      </w:pPr>
      <w:r>
        <w:rPr>
          <w:i w:val="0"/>
        </w:rPr>
        <w:t>Мировая практика привлечения иностранных инвесторов показывает, что правовые гарантии, предоставляемые иностранному инвестору, являются залогом эффективной работы инвестора и снижения приемлемого уровня доходности иностранного капитала.</w:t>
      </w:r>
    </w:p>
    <w:p w:rsidR="0040614A" w:rsidRDefault="0040614A">
      <w:pPr>
        <w:rPr>
          <w:sz w:val="24"/>
        </w:rPr>
      </w:pPr>
    </w:p>
    <w:p w:rsidR="0040614A" w:rsidRDefault="0040614A"/>
    <w:p w:rsidR="0040614A" w:rsidRDefault="0040614A">
      <w:pPr>
        <w:pStyle w:val="10"/>
        <w:spacing w:before="0" w:after="0"/>
        <w:rPr>
          <w:snapToGrid/>
        </w:rPr>
      </w:pPr>
      <w:r>
        <w:rPr>
          <w:snapToGrid/>
        </w:rPr>
        <w:t>ЗАКЛЮЧЕНИЕ.</w:t>
      </w:r>
    </w:p>
    <w:p w:rsidR="0040614A" w:rsidRDefault="0040614A"/>
    <w:p w:rsidR="0040614A" w:rsidRDefault="0040614A"/>
    <w:p w:rsidR="0040614A" w:rsidRDefault="0040614A">
      <w:pPr>
        <w:pStyle w:val="10"/>
        <w:spacing w:before="0" w:after="0"/>
        <w:rPr>
          <w:snapToGrid/>
        </w:rPr>
      </w:pPr>
      <w:r>
        <w:rPr>
          <w:snapToGrid/>
        </w:rPr>
        <w:t xml:space="preserve">Становление новых экономических отношений в России вызывает необходимость изменения механизма государственного регулирования инвестиционных процессов. Экономическая ситуация, сложившаяся в регионе к началу 2000 года, обуславливает актуальность разработки стратегий преодоления низкой инвестиционной активности. </w:t>
      </w:r>
    </w:p>
    <w:p w:rsidR="0040614A" w:rsidRDefault="0040614A">
      <w:pPr>
        <w:pStyle w:val="10"/>
        <w:spacing w:before="0" w:after="0"/>
        <w:rPr>
          <w:snapToGrid/>
        </w:rPr>
      </w:pPr>
      <w:r>
        <w:rPr>
          <w:snapToGrid/>
        </w:rPr>
        <w:tab/>
        <w:t xml:space="preserve">Концепция организации и регулирования инвестиционной деятельности в регионе включает: задачи, принципы, формы и функции государственно-регионального управления инвестиционными процессами; систему инвестиционной инфраструктуры и механизм ее функционирования. Это важные составные элементы, определяющие систему взглядов на обозначенную проблему и способствующие пониманию многих процессов, связанных с инвестиционной деятельностью, которая строится на основе оценки состояния инвестиционной сферы, учета узких мест и выявления потенциальных </w:t>
      </w:r>
      <w:r>
        <w:rPr>
          <w:snapToGrid/>
          <w:lang w:val="en-US"/>
        </w:rPr>
        <w:t>”</w:t>
      </w:r>
      <w:r>
        <w:rPr>
          <w:snapToGrid/>
        </w:rPr>
        <w:t>точек роста</w:t>
      </w:r>
      <w:r>
        <w:rPr>
          <w:snapToGrid/>
          <w:lang w:val="en-US"/>
        </w:rPr>
        <w:t>”</w:t>
      </w:r>
      <w:r>
        <w:rPr>
          <w:snapToGrid/>
        </w:rPr>
        <w:t>. Они являются компонентами комплексной задачи социально-экономической политики инвестиционного регулирования в регионе, включая анализ структуры, объектов инвестиционных предложений и проблем их реализации.</w:t>
      </w:r>
    </w:p>
    <w:p w:rsidR="0040614A" w:rsidRDefault="0040614A">
      <w:pPr>
        <w:pStyle w:val="10"/>
        <w:spacing w:before="0" w:after="0"/>
        <w:rPr>
          <w:snapToGrid/>
        </w:rPr>
      </w:pPr>
      <w:r>
        <w:rPr>
          <w:snapToGrid/>
        </w:rPr>
        <w:t xml:space="preserve"> </w:t>
      </w:r>
      <w:r>
        <w:rPr>
          <w:snapToGrid/>
        </w:rPr>
        <w:tab/>
      </w:r>
    </w:p>
    <w:p w:rsidR="0040614A" w:rsidRDefault="0040614A">
      <w:pPr>
        <w:pStyle w:val="10"/>
        <w:spacing w:before="0" w:after="0"/>
        <w:ind w:firstLine="720"/>
        <w:rPr>
          <w:snapToGrid/>
        </w:rPr>
      </w:pPr>
      <w:r>
        <w:rPr>
          <w:snapToGrid/>
        </w:rPr>
        <w:t>Инвестиции, с одной стороны, следует рассматривать с позиций процесса, объекта, структуры. С другой стороны, процесс инвестиций – система отношений по формированию и реализации спроса и предложения на инвестиционный ресурс. Государственная инвестиционная политика является важным элементом их стимулирования.</w:t>
      </w:r>
    </w:p>
    <w:p w:rsidR="0040614A" w:rsidRDefault="0040614A">
      <w:pPr>
        <w:pStyle w:val="10"/>
        <w:spacing w:before="0" w:after="0"/>
        <w:rPr>
          <w:snapToGrid/>
        </w:rPr>
      </w:pPr>
      <w:r>
        <w:rPr>
          <w:snapToGrid/>
        </w:rPr>
        <w:tab/>
        <w:t>Необходимость регламентации основных функций региональной администрации рассматривается как один из субъектов управления инвестиционных программ, политико-экономический спонсор сводной программы инвестирования и сбалансированного финансирования региона, посредник между участниками инвестиционного процесса. Задачей органов власти в стимулировании инвестиционной деятельности в отношении инвесторов становится совершенствование поддержки через систему государственных гарантий при предоставлении внебюджетных источников финансирования, а также стимулирование хозяйственной деятельности и расширение возможностей инвестиционного финансирования. В отношении инициаторов инвестиционных проектов задачей является обеспечение соответствия инвестиционного проектирования стандартам, обеспечение открытости, масштабности, конкурентоспособности инвестиционной деятельности.</w:t>
      </w:r>
    </w:p>
    <w:p w:rsidR="0040614A" w:rsidRDefault="0040614A">
      <w:pPr>
        <w:pStyle w:val="10"/>
        <w:spacing w:before="0" w:after="0"/>
        <w:rPr>
          <w:snapToGrid/>
        </w:rPr>
      </w:pPr>
      <w:r>
        <w:rPr>
          <w:snapToGrid/>
        </w:rPr>
        <w:tab/>
        <w:t>В инвестиционной сфере назрела необходимость фундаментальных реформ, включая изменения в их структуре, активизации этих процессов на уровне государства, регионе, местного управления. Нужны новые правила в налогообложении деятельности, отнесенной к местному самоуправлению, что способствовало бы регулируемому направлению инвестиционных потоков между развивающимися и депрессивными районами.</w:t>
      </w:r>
    </w:p>
    <w:p w:rsidR="0040614A" w:rsidRDefault="0040614A">
      <w:pPr>
        <w:pStyle w:val="10"/>
        <w:spacing w:before="0" w:after="0"/>
        <w:rPr>
          <w:snapToGrid/>
        </w:rPr>
      </w:pPr>
      <w:r>
        <w:rPr>
          <w:snapToGrid/>
        </w:rPr>
        <w:tab/>
      </w:r>
    </w:p>
    <w:p w:rsidR="0040614A" w:rsidRDefault="0040614A">
      <w:pPr>
        <w:pStyle w:val="10"/>
        <w:spacing w:before="0" w:after="0"/>
        <w:rPr>
          <w:snapToGrid/>
        </w:rPr>
      </w:pPr>
      <w:r>
        <w:rPr>
          <w:snapToGrid/>
        </w:rPr>
        <w:tab/>
        <w:t>Важнейшая задача активизации инвестиционной деятельности – поддержание социальных программ и выравнивание за счет бюджетного инвестирования уровня жизни населения. Отправной точкой развертывания этих процессов становится критерий налогоспособность территории.</w:t>
      </w:r>
    </w:p>
    <w:p w:rsidR="0040614A" w:rsidRDefault="0040614A">
      <w:pPr>
        <w:pStyle w:val="10"/>
        <w:spacing w:before="0" w:after="0"/>
        <w:rPr>
          <w:snapToGrid/>
        </w:rPr>
      </w:pPr>
    </w:p>
    <w:p w:rsidR="0040614A" w:rsidRDefault="0040614A">
      <w:pPr>
        <w:pStyle w:val="10"/>
        <w:spacing w:before="0" w:after="0"/>
        <w:rPr>
          <w:snapToGrid/>
        </w:rPr>
      </w:pPr>
      <w:r>
        <w:rPr>
          <w:snapToGrid/>
        </w:rPr>
        <w:tab/>
        <w:t xml:space="preserve">Наибольшие возможности экономического роста в Иркутской области сконцентрированы в тех отраслях и сферах деятельности, которые обусловлены невысокими затратами и обладают достаточным, неизрасходованным запасом конкурентных преимуществ. Эту ситуацию можно улучшить при государственном участии, не используя прямых инвестиций. Активная инвестиционная деятельность может быть поддержана областной администрацией путем предоставления финансовых льгот (налоговый кредит, уменьшение налога на прибыль, полная и частичная компенсация банковских процентных ставок и т.д.). </w:t>
      </w:r>
    </w:p>
    <w:p w:rsidR="0040614A" w:rsidRDefault="0040614A">
      <w:pPr>
        <w:pStyle w:val="10"/>
        <w:spacing w:before="0" w:after="0"/>
        <w:rPr>
          <w:snapToGrid/>
        </w:rPr>
      </w:pPr>
      <w:r>
        <w:rPr>
          <w:snapToGrid/>
        </w:rPr>
        <w:t xml:space="preserve">Другое направление – инвестиции в инфраструктуру, инвестиции, связанные с внедрением приоритетных ресурсосберегающих технологий. Эти меры должны стать первоочередными в государственной концепции активизации инвестиционной деятельности региона. </w:t>
      </w:r>
    </w:p>
    <w:p w:rsidR="0040614A" w:rsidRDefault="0040614A">
      <w:pPr>
        <w:pStyle w:val="10"/>
        <w:spacing w:before="0" w:after="0"/>
        <w:rPr>
          <w:snapToGrid/>
        </w:rPr>
      </w:pPr>
      <w:r>
        <w:rPr>
          <w:snapToGrid/>
        </w:rPr>
        <w:t>Эффект от реализации подобных решений проявится в снижении производственных издержек, наращивании капиталоотдачи. При подобной схеме реструктуризации экономики области возможно создать предпосылки к проявлению мультипликативного эффекта, усилению влияния инвестиционного спроса на экономический рост.</w:t>
      </w:r>
    </w:p>
    <w:p w:rsidR="0040614A" w:rsidRDefault="0040614A">
      <w:pPr>
        <w:pStyle w:val="10"/>
        <w:spacing w:before="0" w:after="0"/>
        <w:rPr>
          <w:snapToGrid/>
        </w:rPr>
      </w:pPr>
      <w:r>
        <w:rPr>
          <w:snapToGrid/>
        </w:rPr>
        <w:tab/>
        <w:t xml:space="preserve"> В реализации мер государственного регулирования важно сохранить определенную последовательность действий. Это особенно актуально для первичных отраслей естественной монополии. Решение задачи достижения конкурентоспособности отечественного сырья и продукции на мировом и внутреннем рынках является одной из приоритетных стратегических линий государственного участия в преобразовании экономики региона.</w:t>
      </w:r>
    </w:p>
    <w:p w:rsidR="0040614A" w:rsidRDefault="0040614A">
      <w:pPr>
        <w:pStyle w:val="10"/>
        <w:spacing w:before="0" w:after="0"/>
        <w:rPr>
          <w:snapToGrid/>
        </w:rPr>
      </w:pPr>
      <w:r>
        <w:rPr>
          <w:snapToGrid/>
        </w:rPr>
        <w:tab/>
        <w:t>Анализ структуры источников финансирования инвестиций в России в основной капитал (по состоянию 1996 – 1997 г.г.) позволяет сделать следующие выводы:</w:t>
      </w:r>
    </w:p>
    <w:p w:rsidR="0040614A" w:rsidRDefault="0040614A">
      <w:pPr>
        <w:pStyle w:val="10"/>
        <w:spacing w:before="0" w:after="0"/>
        <w:rPr>
          <w:snapToGrid/>
        </w:rPr>
      </w:pPr>
      <w:r>
        <w:rPr>
          <w:snapToGrid/>
        </w:rPr>
        <w:t xml:space="preserve">Основным источником инвестиций в капитал (до 2/3) являются собственные средства предприятий, из собственных средств приоритетный источник инвестиций – амортизационный фонд (35%), прибыль (19%). Внебюджетные фонды – до 15%. </w:t>
      </w:r>
    </w:p>
    <w:p w:rsidR="0040614A" w:rsidRDefault="0040614A">
      <w:pPr>
        <w:pStyle w:val="10"/>
        <w:spacing w:before="0" w:after="0"/>
        <w:rPr>
          <w:snapToGrid/>
        </w:rPr>
      </w:pPr>
      <w:r>
        <w:rPr>
          <w:snapToGrid/>
        </w:rPr>
        <w:t>Низкий уровень привлеченных и заемных средств в инвестициях обусловлен воздействием на экономику хозяйственного механизма, который изначально делает невыгодными инвестиции в реальный сектор экономики.</w:t>
      </w:r>
    </w:p>
    <w:p w:rsidR="0040614A" w:rsidRDefault="0040614A">
      <w:pPr>
        <w:pStyle w:val="10"/>
        <w:spacing w:before="0" w:after="0"/>
        <w:rPr>
          <w:snapToGrid/>
        </w:rPr>
      </w:pPr>
      <w:r>
        <w:rPr>
          <w:snapToGrid/>
        </w:rPr>
        <w:t xml:space="preserve"> Доля заемных средств в источниках инвестиций – до 3,3%. </w:t>
      </w:r>
    </w:p>
    <w:p w:rsidR="0040614A" w:rsidRDefault="0040614A">
      <w:pPr>
        <w:pStyle w:val="10"/>
        <w:spacing w:before="0" w:after="0"/>
        <w:rPr>
          <w:snapToGrid/>
        </w:rPr>
      </w:pPr>
      <w:r>
        <w:rPr>
          <w:snapToGrid/>
        </w:rPr>
        <w:tab/>
        <w:t>Продажа акций, других ценных бумаг, жилищных сертификатов играет ничтожно малую роль в источниках финансирования инвестиций, составляя в совокупности всего 0,6% инвестиций в основной капитал. Относительно небольшой удельный вес в инвестициях средств индивидуальных застройщиков обусловлен резким снижением уровня реальных доходов основной массы населения.</w:t>
      </w:r>
    </w:p>
    <w:p w:rsidR="0040614A" w:rsidRDefault="0040614A">
      <w:pPr>
        <w:pStyle w:val="10"/>
        <w:spacing w:before="0" w:after="0"/>
        <w:rPr>
          <w:snapToGrid/>
        </w:rPr>
      </w:pPr>
    </w:p>
    <w:p w:rsidR="0040614A" w:rsidRDefault="0040614A">
      <w:pPr>
        <w:pStyle w:val="10"/>
        <w:spacing w:before="0" w:after="0"/>
        <w:rPr>
          <w:snapToGrid/>
        </w:rPr>
      </w:pPr>
      <w:r>
        <w:rPr>
          <w:snapToGrid/>
        </w:rPr>
        <w:tab/>
        <w:t>Отмеченные обстоятельства, искаженная структура источников финансирования, являются прямым следствием механизма хозяйствования, который стимулирует спекулятивно-посредническую деятельность.</w:t>
      </w:r>
    </w:p>
    <w:p w:rsidR="0040614A" w:rsidRDefault="0040614A">
      <w:pPr>
        <w:pStyle w:val="10"/>
        <w:spacing w:before="0" w:after="0"/>
        <w:rPr>
          <w:snapToGrid/>
        </w:rPr>
      </w:pPr>
      <w:r>
        <w:rPr>
          <w:snapToGrid/>
        </w:rPr>
        <w:t xml:space="preserve"> </w:t>
      </w:r>
      <w:r>
        <w:rPr>
          <w:snapToGrid/>
        </w:rPr>
        <w:tab/>
        <w:t>Одной из важных причин, сдерживающих потенциальных инвесторов, является неубедительное обоснование эффективности даже тех производственных инвестиционных проектов, которые и при имеющемся в стране риске могут принести высокую прибыль, обеспечить необходимую рентабельность вложений.</w:t>
      </w:r>
    </w:p>
    <w:p w:rsidR="0040614A" w:rsidRDefault="0040614A">
      <w:pPr>
        <w:pStyle w:val="10"/>
        <w:spacing w:before="0" w:after="0"/>
        <w:rPr>
          <w:snapToGrid/>
        </w:rPr>
      </w:pPr>
      <w:r>
        <w:rPr>
          <w:snapToGrid/>
        </w:rPr>
        <w:tab/>
        <w:t>Также важнейшая задача активизации инвестиционной деятельности – поддержание социальных программ и выравнивание за счет бюджетного инвестирования уровня жизни населения. Отправной точкой развертывания этих процессов становится критерий налогоспособность территории.</w:t>
      </w: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rPr>
          <w:sz w:val="24"/>
        </w:rPr>
      </w:pPr>
    </w:p>
    <w:p w:rsidR="0040614A" w:rsidRDefault="0040614A">
      <w:pPr>
        <w:pStyle w:val="1"/>
        <w:jc w:val="center"/>
        <w:rPr>
          <w:i w:val="0"/>
          <w:sz w:val="28"/>
        </w:rPr>
      </w:pPr>
      <w:bookmarkStart w:id="1" w:name="_Toc465182995"/>
      <w:bookmarkStart w:id="2" w:name="_Toc465183057"/>
      <w:bookmarkStart w:id="3" w:name="_Toc465183132"/>
      <w:bookmarkStart w:id="4" w:name="_Toc465183317"/>
      <w:r>
        <w:rPr>
          <w:i w:val="0"/>
          <w:sz w:val="28"/>
        </w:rPr>
        <w:t>Список литературы</w:t>
      </w:r>
      <w:bookmarkEnd w:id="1"/>
      <w:bookmarkEnd w:id="2"/>
      <w:bookmarkEnd w:id="3"/>
      <w:bookmarkEnd w:id="4"/>
    </w:p>
    <w:p w:rsidR="0040614A" w:rsidRDefault="0040614A"/>
    <w:p w:rsidR="0040614A" w:rsidRDefault="0040614A">
      <w:pPr>
        <w:numPr>
          <w:ilvl w:val="0"/>
          <w:numId w:val="2"/>
        </w:numPr>
        <w:spacing w:line="360" w:lineRule="auto"/>
        <w:jc w:val="both"/>
        <w:rPr>
          <w:sz w:val="26"/>
        </w:rPr>
      </w:pPr>
      <w:r>
        <w:rPr>
          <w:sz w:val="26"/>
        </w:rPr>
        <w:t>Уринсон Я.  “О мерах по оживлению инвестиционного процесса в России” М., Ж. “Вопросы экономики”, №1, 1997 г.</w:t>
      </w:r>
    </w:p>
    <w:p w:rsidR="0040614A" w:rsidRDefault="0040614A">
      <w:pPr>
        <w:pStyle w:val="ab"/>
        <w:numPr>
          <w:ilvl w:val="0"/>
          <w:numId w:val="2"/>
        </w:numPr>
        <w:spacing w:line="360" w:lineRule="auto"/>
        <w:ind w:right="-2"/>
        <w:jc w:val="both"/>
        <w:rPr>
          <w:sz w:val="26"/>
        </w:rPr>
      </w:pPr>
      <w:r>
        <w:rPr>
          <w:sz w:val="26"/>
        </w:rPr>
        <w:t>Булатов А.С. Экономика М: Бек,1998.</w:t>
      </w:r>
    </w:p>
    <w:p w:rsidR="0040614A" w:rsidRDefault="0040614A">
      <w:pPr>
        <w:pStyle w:val="ab"/>
        <w:numPr>
          <w:ilvl w:val="0"/>
          <w:numId w:val="2"/>
        </w:numPr>
        <w:spacing w:line="360" w:lineRule="auto"/>
        <w:ind w:right="-2"/>
        <w:jc w:val="both"/>
        <w:rPr>
          <w:sz w:val="26"/>
        </w:rPr>
      </w:pPr>
      <w:r>
        <w:rPr>
          <w:sz w:val="26"/>
        </w:rPr>
        <w:t xml:space="preserve">Василевский З. Инвестиционный рейтинг российских регионов. 1996-1997 годы // Эксперт.- 1997.-  №47. </w:t>
      </w:r>
    </w:p>
    <w:p w:rsidR="0040614A" w:rsidRDefault="0040614A">
      <w:pPr>
        <w:numPr>
          <w:ilvl w:val="0"/>
          <w:numId w:val="2"/>
        </w:numPr>
        <w:spacing w:line="360" w:lineRule="auto"/>
        <w:jc w:val="both"/>
        <w:rPr>
          <w:sz w:val="26"/>
        </w:rPr>
      </w:pPr>
      <w:r>
        <w:rPr>
          <w:sz w:val="26"/>
        </w:rPr>
        <w:t>Глазьев С.  “Стабилизация и экономический рост” М., Ж. “Вопросы экономики”, №1,1997 г.</w:t>
      </w:r>
    </w:p>
    <w:p w:rsidR="0040614A" w:rsidRDefault="0040614A">
      <w:pPr>
        <w:pStyle w:val="ab"/>
        <w:numPr>
          <w:ilvl w:val="0"/>
          <w:numId w:val="2"/>
        </w:numPr>
        <w:spacing w:line="360" w:lineRule="auto"/>
        <w:ind w:right="-2"/>
        <w:jc w:val="both"/>
        <w:rPr>
          <w:sz w:val="26"/>
        </w:rPr>
      </w:pPr>
      <w:r>
        <w:rPr>
          <w:sz w:val="26"/>
        </w:rPr>
        <w:t xml:space="preserve">Дробышева И. Иностранные инвесторы предпочитают 100 процентов  контроля // Золотой рог.- 1998.- 24 февраля. </w:t>
      </w:r>
    </w:p>
    <w:p w:rsidR="0040614A" w:rsidRDefault="0040614A">
      <w:pPr>
        <w:pStyle w:val="ab"/>
        <w:numPr>
          <w:ilvl w:val="0"/>
          <w:numId w:val="2"/>
        </w:numPr>
        <w:spacing w:line="360" w:lineRule="auto"/>
        <w:ind w:right="-2"/>
        <w:jc w:val="both"/>
        <w:rPr>
          <w:sz w:val="26"/>
        </w:rPr>
      </w:pPr>
      <w:r>
        <w:rPr>
          <w:sz w:val="26"/>
        </w:rPr>
        <w:t>Иностранные инвестиции в России современное состояние и перспективы / Под ред. И.П. Фаминского- М.:Международные отношения, 1998.</w:t>
      </w:r>
    </w:p>
    <w:p w:rsidR="0040614A" w:rsidRDefault="0040614A">
      <w:pPr>
        <w:pStyle w:val="ab"/>
        <w:numPr>
          <w:ilvl w:val="0"/>
          <w:numId w:val="2"/>
        </w:numPr>
        <w:spacing w:line="360" w:lineRule="auto"/>
        <w:ind w:right="-2"/>
        <w:jc w:val="both"/>
        <w:rPr>
          <w:sz w:val="26"/>
        </w:rPr>
      </w:pPr>
      <w:r>
        <w:rPr>
          <w:sz w:val="26"/>
        </w:rPr>
        <w:t xml:space="preserve">Камински </w:t>
      </w:r>
      <w:r>
        <w:rPr>
          <w:sz w:val="26"/>
          <w:lang w:val="en-US"/>
        </w:rPr>
        <w:t>M</w:t>
      </w:r>
      <w:r>
        <w:rPr>
          <w:sz w:val="26"/>
        </w:rPr>
        <w:t xml:space="preserve">. Прямые иностранные инвестиции // Финансы и кредит.- № 5. </w:t>
      </w:r>
    </w:p>
    <w:p w:rsidR="0040614A" w:rsidRDefault="0040614A">
      <w:pPr>
        <w:numPr>
          <w:ilvl w:val="0"/>
          <w:numId w:val="2"/>
        </w:numPr>
        <w:spacing w:line="360" w:lineRule="auto"/>
        <w:jc w:val="both"/>
        <w:rPr>
          <w:sz w:val="26"/>
        </w:rPr>
      </w:pPr>
      <w:r>
        <w:rPr>
          <w:sz w:val="26"/>
        </w:rPr>
        <w:t>Кондратенко Е.  “Инвестиционные ресурсы -  проблемы  аккумуляции” М., Ж. “Экономист”, №7, 1998 г.</w:t>
      </w:r>
    </w:p>
    <w:p w:rsidR="0040614A" w:rsidRDefault="0040614A">
      <w:pPr>
        <w:pStyle w:val="ab"/>
        <w:numPr>
          <w:ilvl w:val="0"/>
          <w:numId w:val="2"/>
        </w:numPr>
        <w:spacing w:line="360" w:lineRule="auto"/>
        <w:ind w:right="-2"/>
        <w:jc w:val="both"/>
        <w:rPr>
          <w:sz w:val="26"/>
        </w:rPr>
      </w:pPr>
      <w:r>
        <w:rPr>
          <w:sz w:val="26"/>
        </w:rPr>
        <w:t xml:space="preserve">Логинов Е.А. Иностранные инвестиции и инвестиционные аспекты экономической безопасности России // Внешнеэкономический бюллетень.- 1998.- № 4. </w:t>
      </w:r>
    </w:p>
    <w:p w:rsidR="0040614A" w:rsidRDefault="0040614A">
      <w:pPr>
        <w:numPr>
          <w:ilvl w:val="0"/>
          <w:numId w:val="2"/>
        </w:numPr>
        <w:spacing w:line="360" w:lineRule="auto"/>
        <w:jc w:val="both"/>
        <w:rPr>
          <w:sz w:val="26"/>
        </w:rPr>
      </w:pPr>
      <w:r>
        <w:rPr>
          <w:sz w:val="26"/>
        </w:rPr>
        <w:t>Реформы глазами российских и американских ученых/ Под.  Ред. О. Т. Богомолова// Росс. Экон. Журнал. М.1996.</w:t>
      </w:r>
    </w:p>
    <w:p w:rsidR="0040614A" w:rsidRDefault="0040614A">
      <w:pPr>
        <w:numPr>
          <w:ilvl w:val="0"/>
          <w:numId w:val="2"/>
        </w:numPr>
        <w:spacing w:line="360" w:lineRule="auto"/>
        <w:jc w:val="both"/>
        <w:rPr>
          <w:sz w:val="26"/>
        </w:rPr>
      </w:pPr>
      <w:r>
        <w:rPr>
          <w:sz w:val="26"/>
        </w:rPr>
        <w:t>Самуэльсон П.   “Экономика”, 1 т., М., 1992 г.</w:t>
      </w:r>
    </w:p>
    <w:p w:rsidR="0040614A" w:rsidRDefault="0040614A">
      <w:pPr>
        <w:pStyle w:val="ab"/>
        <w:numPr>
          <w:ilvl w:val="0"/>
          <w:numId w:val="2"/>
        </w:numPr>
        <w:spacing w:line="360" w:lineRule="auto"/>
        <w:ind w:right="-2"/>
        <w:jc w:val="both"/>
        <w:rPr>
          <w:sz w:val="26"/>
        </w:rPr>
      </w:pPr>
      <w:r>
        <w:rPr>
          <w:sz w:val="26"/>
        </w:rPr>
        <w:t xml:space="preserve">Бард В. С. Финансово-экономический комплекс: теория и практика в условиях реформирования российской экономики. М: Финансы и статистика, 1998. 304 с. </w:t>
      </w:r>
    </w:p>
    <w:p w:rsidR="0040614A" w:rsidRDefault="0040614A">
      <w:pPr>
        <w:pStyle w:val="ab"/>
        <w:numPr>
          <w:ilvl w:val="0"/>
          <w:numId w:val="2"/>
        </w:numPr>
        <w:spacing w:line="360" w:lineRule="auto"/>
        <w:ind w:right="-2"/>
        <w:jc w:val="both"/>
        <w:rPr>
          <w:sz w:val="26"/>
        </w:rPr>
      </w:pPr>
      <w:r>
        <w:rPr>
          <w:sz w:val="26"/>
        </w:rPr>
        <w:t xml:space="preserve">Кушлин В. Россия и экономический порядок </w:t>
      </w:r>
      <w:r>
        <w:rPr>
          <w:sz w:val="26"/>
          <w:lang w:val="en-US"/>
        </w:rPr>
        <w:t xml:space="preserve">XXI </w:t>
      </w:r>
      <w:r>
        <w:rPr>
          <w:sz w:val="26"/>
        </w:rPr>
        <w:t xml:space="preserve">века // Экономист 1997. № 12  с 3-12. </w:t>
      </w:r>
    </w:p>
    <w:p w:rsidR="0040614A" w:rsidRDefault="0040614A">
      <w:pPr>
        <w:numPr>
          <w:ilvl w:val="0"/>
          <w:numId w:val="2"/>
        </w:numPr>
        <w:spacing w:line="360" w:lineRule="auto"/>
        <w:jc w:val="both"/>
        <w:rPr>
          <w:sz w:val="26"/>
        </w:rPr>
      </w:pPr>
      <w:r>
        <w:rPr>
          <w:sz w:val="26"/>
        </w:rPr>
        <w:t>Овсиенко Ю. В. Кризис и денежно-кредитная политика Российского государства// экономика и мат. Методы 1995 . Т 31. Вып 4.</w:t>
      </w:r>
    </w:p>
    <w:p w:rsidR="0040614A" w:rsidRDefault="0040614A">
      <w:pPr>
        <w:pStyle w:val="ab"/>
        <w:numPr>
          <w:ilvl w:val="0"/>
          <w:numId w:val="2"/>
        </w:numPr>
        <w:spacing w:line="360" w:lineRule="auto"/>
        <w:ind w:right="-2"/>
        <w:jc w:val="both"/>
        <w:rPr>
          <w:sz w:val="26"/>
        </w:rPr>
      </w:pPr>
      <w:r>
        <w:rPr>
          <w:sz w:val="26"/>
        </w:rPr>
        <w:t>Львов Д. С. Об оценке эффективности функционирования крупномасштабных хозяйственных объектов // ЭММ. 1996 . Т. 32. Вып. 1. С 5-17.</w:t>
      </w:r>
    </w:p>
    <w:p w:rsidR="0040614A" w:rsidRDefault="0040614A">
      <w:pPr>
        <w:pStyle w:val="ab"/>
        <w:numPr>
          <w:ilvl w:val="0"/>
          <w:numId w:val="2"/>
        </w:numPr>
        <w:spacing w:line="360" w:lineRule="auto"/>
        <w:ind w:right="-2"/>
        <w:jc w:val="both"/>
        <w:rPr>
          <w:sz w:val="26"/>
        </w:rPr>
      </w:pPr>
      <w:r>
        <w:rPr>
          <w:sz w:val="26"/>
        </w:rPr>
        <w:t xml:space="preserve">Филатов К. Иностранные инвестиции в экономику России // Статистическое обозрение 1998.- № 2. </w:t>
      </w:r>
    </w:p>
    <w:p w:rsidR="0040614A" w:rsidRDefault="0040614A">
      <w:pPr>
        <w:spacing w:line="360" w:lineRule="auto"/>
        <w:jc w:val="both"/>
        <w:rPr>
          <w:sz w:val="26"/>
        </w:rPr>
      </w:pPr>
    </w:p>
    <w:p w:rsidR="0040614A" w:rsidRDefault="0040614A">
      <w:pPr>
        <w:rPr>
          <w:sz w:val="24"/>
        </w:rPr>
      </w:pPr>
      <w:bookmarkStart w:id="5" w:name="_GoBack"/>
      <w:bookmarkEnd w:id="5"/>
    </w:p>
    <w:sectPr w:rsidR="0040614A">
      <w:footerReference w:type="even" r:id="rId14"/>
      <w:footerReference w:type="default" r:id="rId15"/>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14A" w:rsidRDefault="0040614A">
      <w:r>
        <w:separator/>
      </w:r>
    </w:p>
  </w:endnote>
  <w:endnote w:type="continuationSeparator" w:id="0">
    <w:p w:rsidR="0040614A" w:rsidRDefault="0040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4A" w:rsidRDefault="0040614A">
    <w:pPr>
      <w:pStyle w:val="ac"/>
      <w:framePr w:wrap="around" w:vAnchor="text" w:hAnchor="margin" w:xAlign="center" w:y="1"/>
      <w:rPr>
        <w:rStyle w:val="ad"/>
      </w:rPr>
    </w:pPr>
  </w:p>
  <w:p w:rsidR="0040614A" w:rsidRDefault="0040614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4A" w:rsidRDefault="00183F13">
    <w:pPr>
      <w:pStyle w:val="ac"/>
      <w:framePr w:wrap="around" w:vAnchor="text" w:hAnchor="margin" w:xAlign="center" w:y="1"/>
      <w:rPr>
        <w:rStyle w:val="ad"/>
      </w:rPr>
    </w:pPr>
    <w:r>
      <w:rPr>
        <w:rStyle w:val="ad"/>
        <w:noProof/>
      </w:rPr>
      <w:t>2</w:t>
    </w:r>
  </w:p>
  <w:p w:rsidR="0040614A" w:rsidRDefault="004061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14A" w:rsidRDefault="0040614A">
      <w:r>
        <w:separator/>
      </w:r>
    </w:p>
  </w:footnote>
  <w:footnote w:type="continuationSeparator" w:id="0">
    <w:p w:rsidR="0040614A" w:rsidRDefault="00406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15BB0"/>
    <w:multiLevelType w:val="multilevel"/>
    <w:tmpl w:val="509830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1037DE0"/>
    <w:multiLevelType w:val="singleLevel"/>
    <w:tmpl w:val="AA0C209C"/>
    <w:lvl w:ilvl="0">
      <w:start w:val="2"/>
      <w:numFmt w:val="decimal"/>
      <w:lvlText w:val="%1. "/>
      <w:legacy w:legacy="1" w:legacySpace="0" w:legacyIndent="283"/>
      <w:lvlJc w:val="left"/>
      <w:pPr>
        <w:ind w:left="283" w:hanging="283"/>
      </w:pPr>
      <w:rPr>
        <w:rFonts w:ascii="Times New Roman" w:hAnsi="Times New Roman" w:hint="default"/>
        <w:b w:val="0"/>
        <w:i w:val="0"/>
        <w:sz w:val="28"/>
      </w:rPr>
    </w:lvl>
  </w:abstractNum>
  <w:abstractNum w:abstractNumId="2">
    <w:nsid w:val="31EC7731"/>
    <w:multiLevelType w:val="multilevel"/>
    <w:tmpl w:val="CFC200F0"/>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F13"/>
    <w:rsid w:val="00183F13"/>
    <w:rsid w:val="00392CC7"/>
    <w:rsid w:val="0040614A"/>
    <w:rsid w:val="004E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387414AA-2E6F-4874-9588-C489DB6A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widowControl w:val="0"/>
      <w:numPr>
        <w:ilvl w:val="12"/>
      </w:numPr>
      <w:tabs>
        <w:tab w:val="left" w:pos="851"/>
        <w:tab w:val="center" w:pos="5250"/>
      </w:tabs>
      <w:spacing w:line="360" w:lineRule="auto"/>
      <w:ind w:firstLine="851"/>
      <w:jc w:val="right"/>
      <w:outlineLvl w:val="0"/>
    </w:pPr>
    <w:rPr>
      <w:rFonts w:ascii="Times New Roman CYR" w:hAnsi="Times New Roman CYR"/>
      <w:b/>
      <w:i/>
      <w:snapToGrid w:val="0"/>
      <w:color w:val="000000"/>
      <w:sz w:val="24"/>
    </w:rPr>
  </w:style>
  <w:style w:type="paragraph" w:styleId="2">
    <w:name w:val="heading 2"/>
    <w:basedOn w:val="a"/>
    <w:next w:val="a"/>
    <w:qFormat/>
    <w:pPr>
      <w:keepNext/>
      <w:widowControl w:val="0"/>
      <w:numPr>
        <w:ilvl w:val="12"/>
      </w:numPr>
      <w:tabs>
        <w:tab w:val="left" w:pos="851"/>
        <w:tab w:val="center" w:pos="5250"/>
      </w:tabs>
      <w:spacing w:line="360" w:lineRule="auto"/>
      <w:ind w:firstLine="360"/>
      <w:jc w:val="right"/>
      <w:outlineLvl w:val="1"/>
    </w:pPr>
    <w:rPr>
      <w:rFonts w:ascii="Times New Roman CYR" w:hAnsi="Times New Roman CYR"/>
      <w:i/>
      <w:snapToGrid w:val="0"/>
      <w:color w:val="000000"/>
      <w:sz w:val="24"/>
    </w:rPr>
  </w:style>
  <w:style w:type="paragraph" w:styleId="3">
    <w:name w:val="heading 3"/>
    <w:basedOn w:val="a"/>
    <w:next w:val="a"/>
    <w:qFormat/>
    <w:pPr>
      <w:keepNext/>
      <w:outlineLvl w:val="2"/>
    </w:pPr>
    <w:rPr>
      <w:i/>
      <w:sz w:val="24"/>
    </w:rPr>
  </w:style>
  <w:style w:type="paragraph" w:styleId="4">
    <w:name w:val="heading 4"/>
    <w:basedOn w:val="a"/>
    <w:next w:val="a"/>
    <w:qFormat/>
    <w:pPr>
      <w:keepNext/>
      <w:outlineLvl w:val="3"/>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widowControl w:val="0"/>
      <w:numPr>
        <w:ilvl w:val="12"/>
      </w:numPr>
      <w:tabs>
        <w:tab w:val="left" w:pos="851"/>
        <w:tab w:val="center" w:pos="5250"/>
      </w:tabs>
      <w:spacing w:line="360" w:lineRule="auto"/>
      <w:ind w:firstLine="851"/>
      <w:jc w:val="right"/>
      <w:outlineLvl w:val="0"/>
    </w:pPr>
    <w:rPr>
      <w:rFonts w:ascii="Times New Roman CYR" w:hAnsi="Times New Roman CYR"/>
      <w:i/>
      <w:snapToGrid w:val="0"/>
      <w:color w:val="000000"/>
      <w:sz w:val="24"/>
    </w:rPr>
  </w:style>
  <w:style w:type="paragraph" w:styleId="a4">
    <w:name w:val="footnote text"/>
    <w:basedOn w:val="a"/>
    <w:semiHidden/>
    <w:pPr>
      <w:widowControl w:val="0"/>
      <w:numPr>
        <w:ilvl w:val="12"/>
      </w:numPr>
      <w:tabs>
        <w:tab w:val="left" w:pos="851"/>
        <w:tab w:val="center" w:pos="5250"/>
      </w:tabs>
      <w:jc w:val="right"/>
      <w:outlineLvl w:val="0"/>
    </w:pPr>
    <w:rPr>
      <w:rFonts w:ascii="Times New Roman CYR" w:hAnsi="Times New Roman CYR"/>
      <w:i/>
      <w:snapToGrid w:val="0"/>
      <w:color w:val="000000"/>
    </w:rPr>
  </w:style>
  <w:style w:type="character" w:styleId="a5">
    <w:name w:val="footnote reference"/>
    <w:semiHidden/>
    <w:rPr>
      <w:vertAlign w:val="superscript"/>
    </w:rPr>
  </w:style>
  <w:style w:type="paragraph" w:styleId="a6">
    <w:name w:val="Body Text Indent"/>
    <w:basedOn w:val="a"/>
    <w:semiHidden/>
    <w:pPr>
      <w:widowControl w:val="0"/>
      <w:numPr>
        <w:ilvl w:val="12"/>
      </w:numPr>
      <w:tabs>
        <w:tab w:val="left" w:pos="851"/>
        <w:tab w:val="center" w:pos="5250"/>
      </w:tabs>
      <w:spacing w:line="360" w:lineRule="auto"/>
      <w:ind w:firstLine="851"/>
      <w:jc w:val="both"/>
      <w:outlineLvl w:val="0"/>
    </w:pPr>
    <w:rPr>
      <w:rFonts w:ascii="Times New Roman CYR" w:hAnsi="Times New Roman CYR"/>
      <w:i/>
      <w:snapToGrid w:val="0"/>
      <w:color w:val="000000"/>
      <w:sz w:val="24"/>
    </w:rPr>
  </w:style>
  <w:style w:type="paragraph" w:styleId="20">
    <w:name w:val="Body Text 2"/>
    <w:basedOn w:val="a"/>
    <w:semiHidden/>
    <w:pPr>
      <w:widowControl w:val="0"/>
      <w:numPr>
        <w:ilvl w:val="12"/>
      </w:numPr>
      <w:tabs>
        <w:tab w:val="left" w:pos="851"/>
        <w:tab w:val="center" w:pos="5250"/>
      </w:tabs>
      <w:spacing w:line="360" w:lineRule="auto"/>
      <w:ind w:firstLine="851"/>
      <w:jc w:val="both"/>
      <w:outlineLvl w:val="0"/>
    </w:pPr>
    <w:rPr>
      <w:rFonts w:ascii="Times New Roman CYR" w:hAnsi="Times New Roman CYR"/>
      <w:i/>
      <w:snapToGrid w:val="0"/>
      <w:color w:val="000000"/>
      <w:sz w:val="24"/>
    </w:rPr>
  </w:style>
  <w:style w:type="paragraph" w:styleId="21">
    <w:name w:val="Body Text Indent 2"/>
    <w:basedOn w:val="a"/>
    <w:semiHidden/>
    <w:pPr>
      <w:widowControl w:val="0"/>
      <w:numPr>
        <w:ilvl w:val="12"/>
      </w:numPr>
      <w:tabs>
        <w:tab w:val="left" w:pos="851"/>
        <w:tab w:val="center" w:pos="5250"/>
      </w:tabs>
      <w:spacing w:line="360" w:lineRule="auto"/>
      <w:ind w:firstLine="709"/>
      <w:jc w:val="both"/>
      <w:outlineLvl w:val="0"/>
    </w:pPr>
    <w:rPr>
      <w:rFonts w:ascii="Times New Roman CYR" w:hAnsi="Times New Roman CYR"/>
      <w:snapToGrid w:val="0"/>
      <w:color w:val="000000"/>
      <w:sz w:val="24"/>
    </w:rPr>
  </w:style>
  <w:style w:type="paragraph" w:customStyle="1" w:styleId="a7">
    <w:name w:val="Готовый"/>
    <w:basedOn w:val="a"/>
    <w:pPr>
      <w:widowControl w:val="0"/>
      <w:numPr>
        <w:ilvl w:val="12"/>
      </w:numPr>
      <w:tabs>
        <w:tab w:val="left" w:pos="0"/>
        <w:tab w:val="left" w:pos="851"/>
        <w:tab w:val="left" w:pos="959"/>
        <w:tab w:val="left" w:pos="1918"/>
        <w:tab w:val="left" w:pos="2877"/>
        <w:tab w:val="left" w:pos="3836"/>
        <w:tab w:val="left" w:pos="4795"/>
        <w:tab w:val="center" w:pos="5250"/>
        <w:tab w:val="left" w:pos="5754"/>
        <w:tab w:val="left" w:pos="6713"/>
        <w:tab w:val="left" w:pos="7672"/>
        <w:tab w:val="left" w:pos="8631"/>
        <w:tab w:val="left" w:pos="9590"/>
      </w:tabs>
      <w:spacing w:line="360" w:lineRule="auto"/>
      <w:ind w:firstLine="851"/>
      <w:jc w:val="right"/>
      <w:outlineLvl w:val="0"/>
    </w:pPr>
    <w:rPr>
      <w:rFonts w:ascii="Courier New" w:hAnsi="Courier New"/>
      <w:i/>
      <w:snapToGrid w:val="0"/>
      <w:color w:val="000000"/>
      <w:sz w:val="24"/>
    </w:rPr>
  </w:style>
  <w:style w:type="paragraph" w:styleId="30">
    <w:name w:val="Body Text Indent 3"/>
    <w:basedOn w:val="a"/>
    <w:semiHidden/>
    <w:pPr>
      <w:widowControl w:val="0"/>
      <w:numPr>
        <w:ilvl w:val="12"/>
      </w:numPr>
      <w:tabs>
        <w:tab w:val="left" w:pos="851"/>
        <w:tab w:val="center" w:pos="5250"/>
      </w:tabs>
      <w:spacing w:line="360" w:lineRule="auto"/>
      <w:ind w:left="284" w:firstLine="283"/>
      <w:jc w:val="both"/>
      <w:outlineLvl w:val="0"/>
    </w:pPr>
    <w:rPr>
      <w:rFonts w:ascii="Times New Roman CYR" w:hAnsi="Times New Roman CYR"/>
      <w:i/>
      <w:snapToGrid w:val="0"/>
      <w:color w:val="000000"/>
      <w:sz w:val="24"/>
    </w:rPr>
  </w:style>
  <w:style w:type="paragraph" w:customStyle="1" w:styleId="10">
    <w:name w:val="Звичайний1"/>
    <w:pPr>
      <w:spacing w:before="100" w:after="100"/>
    </w:pPr>
    <w:rPr>
      <w:snapToGrid w:val="0"/>
      <w:sz w:val="24"/>
    </w:rPr>
  </w:style>
  <w:style w:type="paragraph" w:customStyle="1" w:styleId="22">
    <w:name w:val="заголовок 2"/>
    <w:basedOn w:val="a"/>
    <w:next w:val="a"/>
    <w:pPr>
      <w:keepNext/>
      <w:autoSpaceDE w:val="0"/>
      <w:autoSpaceDN w:val="0"/>
      <w:jc w:val="center"/>
    </w:pPr>
    <w:rPr>
      <w:b/>
    </w:rPr>
  </w:style>
  <w:style w:type="paragraph" w:styleId="a8">
    <w:name w:val="Title"/>
    <w:basedOn w:val="a"/>
    <w:qFormat/>
    <w:pPr>
      <w:jc w:val="center"/>
    </w:pPr>
    <w:rPr>
      <w:b/>
      <w:sz w:val="24"/>
    </w:rPr>
  </w:style>
  <w:style w:type="paragraph" w:styleId="11">
    <w:name w:val="toc 1"/>
    <w:basedOn w:val="a"/>
    <w:next w:val="a"/>
    <w:autoRedefine/>
    <w:semiHidden/>
    <w:pPr>
      <w:tabs>
        <w:tab w:val="right" w:leader="dot" w:pos="9742"/>
      </w:tabs>
      <w:spacing w:line="360" w:lineRule="auto"/>
    </w:pPr>
    <w:rPr>
      <w:sz w:val="24"/>
    </w:rPr>
  </w:style>
  <w:style w:type="paragraph" w:styleId="23">
    <w:name w:val="toc 2"/>
    <w:basedOn w:val="a"/>
    <w:next w:val="a"/>
    <w:autoRedefine/>
    <w:semiHidden/>
    <w:pPr>
      <w:ind w:left="240"/>
    </w:pPr>
    <w:rPr>
      <w:sz w:val="24"/>
    </w:rPr>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List"/>
    <w:basedOn w:val="a"/>
    <w:semiHidden/>
  </w:style>
  <w:style w:type="paragraph" w:styleId="ac">
    <w:name w:val="footer"/>
    <w:basedOn w:val="a"/>
    <w:semiHidden/>
    <w:pPr>
      <w:tabs>
        <w:tab w:val="center" w:pos="4153"/>
        <w:tab w:val="right" w:pos="8306"/>
      </w:tabs>
    </w:pPr>
  </w:style>
  <w:style w:type="character" w:styleId="ad">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11655</Words>
  <Characters>66437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1</vt:lpstr>
    </vt:vector>
  </TitlesOfParts>
  <Company> </Company>
  <LinksUpToDate>false</LinksUpToDate>
  <CharactersWithSpaces>77937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Reanimator 99 CD</dc:creator>
  <cp:keywords/>
  <cp:lastModifiedBy>Irina</cp:lastModifiedBy>
  <cp:revision>2</cp:revision>
  <cp:lastPrinted>2001-03-11T07:24:00Z</cp:lastPrinted>
  <dcterms:created xsi:type="dcterms:W3CDTF">2014-08-04T14:24:00Z</dcterms:created>
  <dcterms:modified xsi:type="dcterms:W3CDTF">2014-08-04T14:24:00Z</dcterms:modified>
</cp:coreProperties>
</file>