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072" w:rsidRPr="00BE56B9" w:rsidRDefault="00904072" w:rsidP="00BE56B9">
      <w:pPr>
        <w:autoSpaceDE w:val="0"/>
        <w:autoSpaceDN w:val="0"/>
        <w:adjustRightInd w:val="0"/>
        <w:spacing w:line="360" w:lineRule="auto"/>
        <w:jc w:val="center"/>
        <w:rPr>
          <w:b/>
          <w:bCs/>
          <w:caps/>
          <w:kern w:val="28"/>
          <w:sz w:val="28"/>
          <w:szCs w:val="28"/>
        </w:rPr>
      </w:pPr>
      <w:r w:rsidRPr="00BE56B9">
        <w:rPr>
          <w:b/>
          <w:bCs/>
          <w:caps/>
          <w:kern w:val="28"/>
          <w:sz w:val="28"/>
          <w:szCs w:val="28"/>
        </w:rPr>
        <w:t>Исчисление и уплата налога на добавленную стоимость подрядными организациями</w:t>
      </w:r>
    </w:p>
    <w:p w:rsidR="00904072" w:rsidRPr="00BE56B9" w:rsidRDefault="00904072" w:rsidP="00BE56B9">
      <w:pPr>
        <w:autoSpaceDE w:val="0"/>
        <w:autoSpaceDN w:val="0"/>
        <w:adjustRightInd w:val="0"/>
        <w:spacing w:line="360" w:lineRule="auto"/>
        <w:ind w:firstLine="709"/>
        <w:jc w:val="both"/>
        <w:rPr>
          <w:kern w:val="28"/>
          <w:sz w:val="28"/>
          <w:szCs w:val="28"/>
        </w:rPr>
      </w:pP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соответствии с Законом Республики Беларусь "О налоге на добавленную стоимость" (с учетом изменений и дополнений, внесенных Законом Республики Беларусь от 29.12.2006 № 190-З) (далее - Закон) объектом обложения налогом на добавленную стоимость признаются обороты по реализации товаров (работ, услуг), имущественных прав на объекты интеллектуальной собственности (далее - объекты) на территории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обороты по реализации строительных работ признаются объектом обложения НДС только в тех случаях, когда эти работы выполняются на территории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Для установления наличия такого факта следует определить место реализации строительных работ.</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выполнении работ и оказании услуг, непосредственно связанным с недвижимым имуществом (за исключением воздушных, морских судов и судов внутреннего плавания, а также космических объектов), находящимся на территории Республики Беларусь, местом их реализации является территория Республики Беларусь. Следовательно, если недвижимое имущество находится за пределами Республики Беларусь, то местом реализации работ (услуг), которые непосредственно связаны с этим имуществом, не является территория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Если недвижимое имущество строится на территории Республики Беларусь, то местом реализации работ (услуг), связанных с этим имуществом, является территория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Соответственно, исчисление НДС не производится при выполнении строительных работ за пределами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Кроме того, в соответствии с подп. 1.6 п. 1 ст. 3 Закона не признаются объектами налогообложения и не подлежат налогообложению обороты по реализации строительных работ за пределами Республики Беларусь при условии, что указанные работы выполняются на основе соответствующего контракта (договора) с иностранным юридическим или физическим лицом и выручка от их реализации поступила на счета в банках Республики Беларусь в свободно конвертируемой валюте, национальной валюте государств - участников Содружества Независимых Государств, а также в белорусских рублях по контрактам, заключенным в счет погашения задолженности за поставку природного газа в Республику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Следует обратить внимание на выполнение одного из условий, согласно которому не подлежат налогообложению обороты по реализации строительных работ за пределами Республики Беларусь при поступлении оплаты в белорусских рублях по контрактам, заключенным в счет погашения задолженности за поставку природного газа в Республику Беларусь. Прежде всего, обязательно наличие именно таких контрактов. При поступлении оплаты в белорусских рублях и отсутствии таких контрактов производится исчисление и уплата налога на добавленную стоимость, если подрядная организация (ее структурное подразделение) не зарегистрирована в качестве налогоплательщика за пределами Республики Беларусь. Поступление белорусских рублей всегда сопровождается заключением договоров перемены лиц в исполнении обязательств между заказчиком строительных работ и подрядной организацией (договор уступки права требования) либо между заказчиком строительных работ и организацией, приобретающей природный газ, с согласия подрядной организацией (договор перевода долга). В соответствии со статьей 353 Гражданского кодекса Республики Беларусь (далее - ГК)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 В соответствии со статьей 362 ГК перевод должником своего долга на другое лицо допускается лишь с согласия кредитора.</w:t>
      </w:r>
    </w:p>
    <w:p w:rsidR="00904072" w:rsidRPr="00BE56B9" w:rsidRDefault="00904072" w:rsidP="00BE56B9">
      <w:pPr>
        <w:autoSpaceDE w:val="0"/>
        <w:autoSpaceDN w:val="0"/>
        <w:adjustRightInd w:val="0"/>
        <w:spacing w:line="360" w:lineRule="auto"/>
        <w:ind w:firstLine="709"/>
        <w:jc w:val="both"/>
        <w:rPr>
          <w:bCs/>
          <w:iCs/>
          <w:kern w:val="28"/>
          <w:sz w:val="28"/>
          <w:szCs w:val="28"/>
        </w:rPr>
      </w:pPr>
      <w:r w:rsidRPr="00BE56B9">
        <w:rPr>
          <w:bCs/>
          <w:iCs/>
          <w:kern w:val="28"/>
          <w:sz w:val="28"/>
          <w:szCs w:val="28"/>
        </w:rPr>
        <w:t>Пример</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Организация Российской Федерации реализовала природный газ в Республику Беларусь. Подрядная организация выполнила строительные работы в Российской Федерации, заказчиком которых выступила эта организация. Заказчик заключает с подрядчиком договор уступки права требования с покупателя заказчика оплаты выполненных строительных работ. Также заказчик с согласия подрядчика может заключить с покупателем природного газа договор перевода долга покупателя подрядчику. На основании этих договоров покупатель природного газа производит оплату подрядчику белорусскими рублями.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Наличие контрактов, заключенных в счет погашения задолженности за поставку природного газа в Республику Беларусь, для того, чтобы не производить исчисление налога на добавленную стоимость, не обязательно, при наличии договора с нерезидентом Республики Беларусь и поступлении валюты иных государств.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Согласно Закону освобождаются от налогообложения обороты по реализации на территории Республики Беларусь объектов жилищного фонда, не завершенных строительством объектов жилищного строительства и работ по строительству и ремонту объектов жилищного фонда по перечню таких работ, утверждаемому Президентом Республики Беларусь (подпункт 2.12. пункта 2 статьи 3).</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Указом Президента Республики Беларусь от 26.03.2007 № 138 "О некоторых вопросах обложения налогам на добавленную стоимость" (далее - Указ) утвержден перечень работ по строительству и ремонту объектов жилищного фонда, обороты по реализации которых на территории Республики Беларусь освобождаются от обложения налогом на добавленную стоимость.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Указом предусмотрена запись, позволяющая применять освобождение от налога на добавленную стоимость, как по новому строительству, так и по реконструкции, включая модернизацию, реставрации, капитальному и текущему ремонтам, благоустройству и озеленению объектов жилищного фонда. К объектам жилищного фонда относятся жилые, подсобные и вспомогательные помещения жилых домов (одноквартирных, блокированных, многоквартирных), общежитий, специальных домов с инженерными сетями, иными сооружениями, обеспечивающими целевое использование объектов жилищного фонда.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Освобождению от налогообложения подлежат обороты по реализации всех видов работ по строительству и ремонту жилищного фонда независимо от источников их финансирования (средства юридических и физических лиц, средства бюджета, кредиты банков и другие источники) и способа производства, в том числе выполняемых субподрядными организациями.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Таким образом, при выполнении работ по строительству, реконструкции и ремонту объектов жилищного фонда на территории Республики Беларусь подрядная организация имеет право на применение освобождения от налога на добавленную стоимость.</w:t>
      </w:r>
    </w:p>
    <w:p w:rsidR="00BE56B9" w:rsidRDefault="00BE56B9" w:rsidP="00BE56B9">
      <w:pPr>
        <w:autoSpaceDE w:val="0"/>
        <w:autoSpaceDN w:val="0"/>
        <w:adjustRightInd w:val="0"/>
        <w:spacing w:line="360" w:lineRule="auto"/>
        <w:ind w:firstLine="709"/>
        <w:jc w:val="both"/>
        <w:rPr>
          <w:bCs/>
          <w:caps/>
          <w:kern w:val="28"/>
          <w:sz w:val="28"/>
          <w:szCs w:val="28"/>
        </w:rPr>
      </w:pPr>
    </w:p>
    <w:p w:rsidR="00904072" w:rsidRPr="00BE56B9" w:rsidRDefault="00904072" w:rsidP="00BE56B9">
      <w:pPr>
        <w:autoSpaceDE w:val="0"/>
        <w:autoSpaceDN w:val="0"/>
        <w:adjustRightInd w:val="0"/>
        <w:spacing w:line="360" w:lineRule="auto"/>
        <w:ind w:firstLine="709"/>
        <w:jc w:val="both"/>
        <w:rPr>
          <w:bCs/>
          <w:caps/>
          <w:kern w:val="28"/>
          <w:sz w:val="28"/>
          <w:szCs w:val="28"/>
        </w:rPr>
      </w:pPr>
      <w:r w:rsidRPr="00BE56B9">
        <w:rPr>
          <w:bCs/>
          <w:caps/>
          <w:kern w:val="28"/>
          <w:sz w:val="28"/>
          <w:szCs w:val="28"/>
        </w:rPr>
        <w:t>Налоговая база у подрядчика</w:t>
      </w:r>
    </w:p>
    <w:p w:rsidR="00BE56B9" w:rsidRDefault="00BE56B9" w:rsidP="00BE56B9">
      <w:pPr>
        <w:autoSpaceDE w:val="0"/>
        <w:autoSpaceDN w:val="0"/>
        <w:adjustRightInd w:val="0"/>
        <w:spacing w:line="360" w:lineRule="auto"/>
        <w:ind w:firstLine="709"/>
        <w:jc w:val="both"/>
        <w:rPr>
          <w:kern w:val="28"/>
          <w:sz w:val="28"/>
          <w:szCs w:val="28"/>
        </w:rPr>
      </w:pP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соответствии с Законом налоговая база определяется как стоимость товаров (работ, услуг), имущественных прав на объекты интеллектуальной собственности.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Исходя из этого, налоговая база при выполнении строительных работ определяется как стоимость выполненных работ каждой строительной организацией.</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Таким образом, налоговая база в случаях привлечения к строительно-монтажным работам субподрядных организаций по выполненным подрядчиками строительным работам определяется подрядчиком как стоимость работ, выполненных собственными силами.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подрядчик исчисляет налог на добавленную стоимость исходя из стоимости строительных работ, выполненных собственными силами, и субподрядная организация также исчисляет налог исходя из стоимости работ, также выполненных собственными силами. В результате этого по объекту строительства может возникать несколько сумм налога на добавленную стоимость, из которых и будет состоять общая сумма налога, которая должна быть предъявлена заказчику.</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соответствии с Инструкцией о порядке заполнения счета-фактуры по НДС формы СФ-1, утвержденной постановлением Министерства финансов Республики Беларусь от 05.06.2003 № 91 (с учетом изменений и дополнений, далее - Инструкция 91), счет-фактура по налогу на добавленную стоимость формы СФ-1 является первичным учетным документом, подтверждающим выполнение работ (оказание услуг), и относится к бланкам строгой отчетности. Счет-фактура выписывается и предъявляется продавцом (подрядчиком) работ (услуг) - плательщиком налога на добавленную стоимость, зарегистрированным в качестве налогоплательщика в налоговых органах Республики Беларусь, их покупателю (заказчику) одновременно с другими документами, которыми оформляются выполненные работы или оказанные услуги (при наличии этих документов).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выполнении работ (оказании услуг), сопровождающихся предъявлением к оплате покупателю стоимости работ (услуг), выполненных (оказанных) другими продавцами, отдельно от стоимости выполненных работ (оказанных услуг), данные по этим работам (услугам) могут отдельными строками (на основании полученных счетов-фактур и других документов) включаться в счет-фактуру по работам (услугам), непосредственно выполненным (оказанным) их продавцом.</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подрядчик (генподрядчик) может предъявить заказчику счет-фактуру по налогу на добавленную стоимость, который можно назвать сводным счетом-фактурой, в котором будут отражены и стоимость выполненных работ и сумма налога на добавленную стоимость, исчисленная от стоимости работ, выполненных разными организациями. Заполнение этого счета-фактуры производится на основании счетов-фактур, предъявленных субподрядчиками. В счет-фактуре в таких ситуациях также можно отразить общую стоимость выполненных работ и общую сумму налога на добавленную стоимость. В налоговой декларации (расчете) по налогу на добавленную стоимость отражается налоговая база и сумма налога на добавленную стоимость только в части строительно-монтажных работ, выполненных собственными силами, а не стоимость всего объема выполненных работ.</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соответствии с Инструкцией 91 счета-фактуры налогоплательщиками не составляются:</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по работам (услугам), обороты по реализации которых освобождены от налога на добавленную стоимость;</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по работам (услугам), обороты по реализации которых не признаются объектом налогообложения налогом на добавленную стоимость;</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при реализации работ (услуг), обороты по реализации которых облагаются налогом на добавленную стоимость по нулевой ставке.</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при выполнении работ по строительству, реконструкции и ремонту объектов жилищного фонда на территории Республики Беларусь, а также при выполнении строительных работ, не подлежащих обложению налогом на добавленную стоимость, подрядной организацией счет-фактура по налогу на добавленную стоимость не составляется. Применение нулевой ставки по налогу на добавленную стоимость по строительным работам законодательством не предусмотрено. Следовательно, при выполнении строительных работ, облагаемых налогом на добавленную стоимость по ставке в размере 18 процентов, счет - фактура по налогу на добавленную стоимость составляется и предъявляется в общеустановленном порядке.</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 xml:space="preserve">При признании оборота по реализации объектов за пределами Республики Беларусь и возникновении необходимости уплаты налога на добавленную стоимость в Республике Беларусь в случае отсутствия регистрации в качестве плательщика за пределами Республики Беларусь следует учитывать то, что законодательством той страны, где осуществляется такой оборот по реализации объектов, может быть предусмотрено удержание налога на добавленную стоимость у источника уплаты, так называемые, налоговые агенты, как было, например, до </w:t>
      </w:r>
      <w:smartTag w:uri="urn:schemas-microsoft-com:office:smarttags" w:element="metricconverter">
        <w:smartTagPr>
          <w:attr w:name="ProductID" w:val="2005 г"/>
        </w:smartTagPr>
        <w:r w:rsidRPr="00BE56B9">
          <w:rPr>
            <w:kern w:val="28"/>
            <w:sz w:val="28"/>
            <w:szCs w:val="28"/>
          </w:rPr>
          <w:t>2005 г</w:t>
        </w:r>
      </w:smartTag>
      <w:r w:rsidRPr="00BE56B9">
        <w:rPr>
          <w:kern w:val="28"/>
          <w:sz w:val="28"/>
          <w:szCs w:val="28"/>
        </w:rPr>
        <w:t>. в Республике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возникновении такой ситуации следует учитывать, что Инструкцией установлено, что налоговая база по реализации объектов уменьшается на сумму налога на добавленную стоимость, уплаченную по этим объектам в бюджет иностранных государств плательщиком, а также покупателем, выступающим в качестве налогового агента в иностранных государствах. Следовательно, в таких случаях, когда заказчик удержал сумму налога на добавленную стоимость у источника выплаты при выполнении строительных работ за пределами Республики Беларусь, т.е. фактически исполнил функции налогового агента, то налоговая база у подрядчика в Республике Беларусь будет уменьшена на удержанную и уплаченную сумму налога на добавленную стоимость в иностранном государстве.</w:t>
      </w:r>
    </w:p>
    <w:p w:rsidR="00904072" w:rsidRPr="00BE56B9" w:rsidRDefault="00904072" w:rsidP="00BE56B9">
      <w:pPr>
        <w:autoSpaceDE w:val="0"/>
        <w:autoSpaceDN w:val="0"/>
        <w:adjustRightInd w:val="0"/>
        <w:spacing w:line="360" w:lineRule="auto"/>
        <w:ind w:firstLine="709"/>
        <w:jc w:val="both"/>
        <w:rPr>
          <w:bCs/>
          <w:iCs/>
          <w:kern w:val="28"/>
          <w:sz w:val="28"/>
          <w:szCs w:val="28"/>
        </w:rPr>
      </w:pPr>
      <w:r w:rsidRPr="00BE56B9">
        <w:rPr>
          <w:bCs/>
          <w:iCs/>
          <w:kern w:val="28"/>
          <w:sz w:val="28"/>
          <w:szCs w:val="28"/>
        </w:rPr>
        <w:t>Пример</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Организация выполнила в Российской Федерации строительные работы. На учете в качестве налогоплательщика Российской Федерации эта организация не состоит. Заказчик выплатил стоимость строительных работ, которая была уменьшена на сумму налога на добавленную стоимость. При исчислении налога на добавленную стоимость в республике налоговая база будет равна полученной сумме оплаты при наличии документов, подтверждающих удержание и уплату налога на добавленную стоимость в Российской Федерации.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Наличие документов, подтверждающих уплату налога за рубежом является значительным только лишь для определения удельного веса для установления сумм налога, подлежащих отнесению на затраты, так как суммы налога, относящиеся к оборотам за рубежом вычету не подлежат. В соответствии с Законом при определении удельного веса принимается сумма налоговой базы и сумма налога. Соответственно, при наличии документов налоговая база будет меньше, чем при их отсутствии.</w:t>
      </w:r>
    </w:p>
    <w:p w:rsidR="00904072" w:rsidRPr="00BE56B9" w:rsidRDefault="00904072" w:rsidP="00BE56B9">
      <w:pPr>
        <w:autoSpaceDE w:val="0"/>
        <w:autoSpaceDN w:val="0"/>
        <w:adjustRightInd w:val="0"/>
        <w:spacing w:line="360" w:lineRule="auto"/>
        <w:ind w:firstLine="709"/>
        <w:jc w:val="both"/>
        <w:rPr>
          <w:bCs/>
          <w:iCs/>
          <w:kern w:val="28"/>
          <w:sz w:val="28"/>
          <w:szCs w:val="28"/>
        </w:rPr>
      </w:pPr>
      <w:r w:rsidRPr="00BE56B9">
        <w:rPr>
          <w:bCs/>
          <w:iCs/>
          <w:kern w:val="28"/>
          <w:sz w:val="28"/>
          <w:szCs w:val="28"/>
        </w:rPr>
        <w:t>Пример</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Подрядчиком выполнены строительные работы в Российской Федерации. Стоимость этих работ составила 118 млн. руб. Заказчиком произведена оплата 100 млн. так как им было произведено удержание суммы налога в размере 18 млн. руб. из сумм, причитающихся подрядчику. Общая сумма оборота по реализации, без вышеуказанного оборота, составила 400 млн. руб. Сумма налога на добавленную стоимость, уплаченная при определении товаров (работ, услуг), имущественных прав на объекты интеллектуальной собственности, составила 25 млн. руб. При получении подтверждающих документов исчисление удельного веса принимается 100 млн. руб., а при их отсутствии - 118 млн. руб. Следовательно, на затраты подлежит отнесению сумма налога на добавленную стоимость: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5 млн. руб. (25х(100/500));</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5,7млн. руб. (25х(118/518))</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Если наступил фактический момент реализации объектов, но документы, на основании которых производится уменьшение налоговой базы еще не получены, то в налоговой декларации за этот отчетный период указывается налоговая база без какого-либо уменьшения. При поступлении документов, подтверждающих удержание сумм налога на добавленную стоимость источником выплат, уменьшение налоговой базы при исчислении налога на добавленную стоимость производится в налоговой декларации, срок представления которой следует после получения таких документов.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Момент фактической реализации у подрядной организации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Момент фактической реализации, в том числе и строительных работ, определяется на основании статьи 10 Закона. В соответствии с этой статьей в зависимости от учетной политики плательщика исчисление НДС следует производить за тот налоговый период, в котором поступила оплата за выполненные работы, но не позднее 60-ти дней со дня выполнения работ (если учетная политика по "оплате) либо за тот налоговый период, в котором состоялось выполнение работ (если учетная политика по "отгрузке").</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Законом также установлен момент выполнения строительных работ для целей исчисления НДС. Этим моментом является признается последний день месяца выполнения работ. При неподписании заказчиком актов выполненных работ за отчетный месяц до 10-го числа (включительно) месяца, следующего за отчетным, моментом выполнения строительных работ признается день подписания заказчиком актов выполненных работ.</w:t>
      </w:r>
    </w:p>
    <w:p w:rsidR="00904072" w:rsidRPr="00BE56B9" w:rsidRDefault="00904072" w:rsidP="00BE56B9">
      <w:pPr>
        <w:autoSpaceDE w:val="0"/>
        <w:autoSpaceDN w:val="0"/>
        <w:adjustRightInd w:val="0"/>
        <w:spacing w:line="360" w:lineRule="auto"/>
        <w:ind w:firstLine="709"/>
        <w:jc w:val="both"/>
        <w:rPr>
          <w:bCs/>
          <w:iCs/>
          <w:kern w:val="28"/>
          <w:sz w:val="28"/>
          <w:szCs w:val="28"/>
        </w:rPr>
      </w:pPr>
      <w:r w:rsidRPr="00BE56B9">
        <w:rPr>
          <w:bCs/>
          <w:iCs/>
          <w:kern w:val="28"/>
          <w:sz w:val="28"/>
          <w:szCs w:val="28"/>
        </w:rPr>
        <w:t>Пример</w:t>
      </w:r>
    </w:p>
    <w:p w:rsidR="00904072"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случае, когда организацией, выполняющей строительные работы, применяется метод определения выручки "по оплате", то момент фактической реализации определяется как день оплаты выполненных работ (но не ранее момента их выполнения) и не позднее 60 дней со дня их выполнения. Строительные работы завершены 20 апреля 2007 года.</w:t>
      </w:r>
    </w:p>
    <w:p w:rsidR="00BE56B9" w:rsidRPr="00BE56B9" w:rsidRDefault="00BE56B9" w:rsidP="00BE56B9">
      <w:pPr>
        <w:autoSpaceDE w:val="0"/>
        <w:autoSpaceDN w:val="0"/>
        <w:adjustRightInd w:val="0"/>
        <w:spacing w:line="360" w:lineRule="auto"/>
        <w:ind w:firstLine="709"/>
        <w:jc w:val="both"/>
        <w:rPr>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9"/>
        <w:gridCol w:w="3158"/>
        <w:gridCol w:w="3254"/>
      </w:tblGrid>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Акт подписан заказчиком</w:t>
            </w:r>
          </w:p>
        </w:tc>
        <w:tc>
          <w:tcPr>
            <w:tcW w:w="1650" w:type="pct"/>
            <w:shd w:val="clear" w:color="auto" w:fill="auto"/>
          </w:tcPr>
          <w:p w:rsidR="00904072" w:rsidRPr="00CC2FF8" w:rsidRDefault="00904072" w:rsidP="00BE56B9">
            <w:pPr>
              <w:rPr>
                <w:sz w:val="20"/>
                <w:szCs w:val="20"/>
              </w:rPr>
            </w:pPr>
            <w:r w:rsidRPr="00CC2FF8">
              <w:rPr>
                <w:sz w:val="20"/>
                <w:szCs w:val="20"/>
              </w:rPr>
              <w:t>Оплата работ</w:t>
            </w:r>
          </w:p>
        </w:tc>
        <w:tc>
          <w:tcPr>
            <w:tcW w:w="1700" w:type="pct"/>
            <w:shd w:val="clear" w:color="auto" w:fill="auto"/>
          </w:tcPr>
          <w:p w:rsidR="00904072" w:rsidRPr="00CC2FF8" w:rsidRDefault="00904072" w:rsidP="00BE56B9">
            <w:pPr>
              <w:rPr>
                <w:sz w:val="20"/>
                <w:szCs w:val="20"/>
              </w:rPr>
            </w:pPr>
            <w:r w:rsidRPr="00CC2FF8">
              <w:rPr>
                <w:sz w:val="20"/>
                <w:szCs w:val="20"/>
              </w:rPr>
              <w:t>Момент фактической реализации</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25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10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10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10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15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15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5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5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 июля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29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 xml:space="preserve">. (60-й день от 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 августа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16 июля </w:t>
            </w:r>
            <w:smartTag w:uri="urn:schemas-microsoft-com:office:smarttags" w:element="metricconverter">
              <w:smartTagPr>
                <w:attr w:name="ProductID" w:val="2007 г"/>
              </w:smartTagPr>
              <w:r w:rsidRPr="00CC2FF8">
                <w:rPr>
                  <w:sz w:val="20"/>
                  <w:szCs w:val="20"/>
                </w:rPr>
                <w:t>2007 г</w:t>
              </w:r>
            </w:smartTag>
            <w:r w:rsidRPr="00CC2FF8">
              <w:rPr>
                <w:sz w:val="20"/>
                <w:szCs w:val="20"/>
              </w:rPr>
              <w:t xml:space="preserve">. (60-й день от 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bl>
    <w:p w:rsidR="00BE56B9" w:rsidRDefault="00BE56B9" w:rsidP="00BE56B9">
      <w:pPr>
        <w:autoSpaceDE w:val="0"/>
        <w:autoSpaceDN w:val="0"/>
        <w:adjustRightInd w:val="0"/>
        <w:spacing w:line="360" w:lineRule="auto"/>
        <w:ind w:firstLine="709"/>
        <w:jc w:val="both"/>
        <w:rPr>
          <w:kern w:val="28"/>
          <w:sz w:val="28"/>
          <w:szCs w:val="28"/>
        </w:rPr>
      </w:pPr>
    </w:p>
    <w:p w:rsidR="00904072"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случае, когда организацией, выполняющей строительные работы, применяется метод определения выручки "по отгрузке", то момент фактической реализации определяется как день выполнения работ. Строительные работы завершены 20 апреля 2007 года.</w:t>
      </w:r>
    </w:p>
    <w:p w:rsidR="00BE56B9" w:rsidRPr="00BE56B9" w:rsidRDefault="00BE56B9" w:rsidP="00BE56B9">
      <w:pPr>
        <w:autoSpaceDE w:val="0"/>
        <w:autoSpaceDN w:val="0"/>
        <w:adjustRightInd w:val="0"/>
        <w:spacing w:line="360" w:lineRule="auto"/>
        <w:ind w:firstLine="709"/>
        <w:jc w:val="both"/>
        <w:rPr>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9"/>
        <w:gridCol w:w="3158"/>
        <w:gridCol w:w="3254"/>
      </w:tblGrid>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Акт подписан заказчиком</w:t>
            </w:r>
          </w:p>
        </w:tc>
        <w:tc>
          <w:tcPr>
            <w:tcW w:w="1650" w:type="pct"/>
            <w:shd w:val="clear" w:color="auto" w:fill="auto"/>
          </w:tcPr>
          <w:p w:rsidR="00904072" w:rsidRPr="00CC2FF8" w:rsidRDefault="00904072" w:rsidP="00BE56B9">
            <w:pPr>
              <w:rPr>
                <w:sz w:val="20"/>
                <w:szCs w:val="20"/>
              </w:rPr>
            </w:pPr>
            <w:r w:rsidRPr="00CC2FF8">
              <w:rPr>
                <w:sz w:val="20"/>
                <w:szCs w:val="20"/>
              </w:rPr>
              <w:t>Оплата работ</w:t>
            </w:r>
          </w:p>
        </w:tc>
        <w:tc>
          <w:tcPr>
            <w:tcW w:w="1700" w:type="pct"/>
            <w:shd w:val="clear" w:color="auto" w:fill="auto"/>
          </w:tcPr>
          <w:p w:rsidR="00904072" w:rsidRPr="00CC2FF8" w:rsidRDefault="00904072" w:rsidP="00BE56B9">
            <w:pPr>
              <w:rPr>
                <w:sz w:val="20"/>
                <w:szCs w:val="20"/>
              </w:rPr>
            </w:pPr>
            <w:r w:rsidRPr="00CC2FF8">
              <w:rPr>
                <w:sz w:val="20"/>
                <w:szCs w:val="20"/>
              </w:rPr>
              <w:t>Момент фактической реализации</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25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10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20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30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10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11 апреля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10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15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4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r w:rsidR="00904072" w:rsidRPr="00CC2FF8" w:rsidTr="00CC2FF8">
        <w:tc>
          <w:tcPr>
            <w:tcW w:w="165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650" w:type="pct"/>
            <w:shd w:val="clear" w:color="auto" w:fill="auto"/>
          </w:tcPr>
          <w:p w:rsidR="00904072" w:rsidRPr="00CC2FF8" w:rsidRDefault="00904072" w:rsidP="00BE56B9">
            <w:pPr>
              <w:rPr>
                <w:sz w:val="20"/>
                <w:szCs w:val="20"/>
              </w:rPr>
            </w:pPr>
            <w:r w:rsidRPr="00CC2FF8">
              <w:rPr>
                <w:sz w:val="20"/>
                <w:szCs w:val="20"/>
              </w:rPr>
              <w:t xml:space="preserve">5 июня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c>
          <w:tcPr>
            <w:tcW w:w="1700" w:type="pct"/>
            <w:shd w:val="clear" w:color="auto" w:fill="auto"/>
          </w:tcPr>
          <w:p w:rsidR="00904072" w:rsidRPr="00CC2FF8" w:rsidRDefault="00904072" w:rsidP="00BE56B9">
            <w:pPr>
              <w:rPr>
                <w:sz w:val="20"/>
                <w:szCs w:val="20"/>
              </w:rPr>
            </w:pPr>
            <w:r w:rsidRPr="00CC2FF8">
              <w:rPr>
                <w:sz w:val="20"/>
                <w:szCs w:val="20"/>
              </w:rPr>
              <w:t xml:space="preserve">17 мая </w:t>
            </w:r>
            <w:smartTag w:uri="urn:schemas-microsoft-com:office:smarttags" w:element="metricconverter">
              <w:smartTagPr>
                <w:attr w:name="ProductID" w:val="2007 г"/>
              </w:smartTagPr>
              <w:r w:rsidRPr="00CC2FF8">
                <w:rPr>
                  <w:sz w:val="20"/>
                  <w:szCs w:val="20"/>
                </w:rPr>
                <w:t>2007 г</w:t>
              </w:r>
            </w:smartTag>
            <w:r w:rsidRPr="00CC2FF8">
              <w:rPr>
                <w:sz w:val="20"/>
                <w:szCs w:val="20"/>
              </w:rPr>
              <w:t>.</w:t>
            </w:r>
          </w:p>
        </w:tc>
      </w:tr>
    </w:tbl>
    <w:p w:rsidR="00BE56B9" w:rsidRDefault="00BE56B9" w:rsidP="00BE56B9">
      <w:pPr>
        <w:autoSpaceDE w:val="0"/>
        <w:autoSpaceDN w:val="0"/>
        <w:adjustRightInd w:val="0"/>
        <w:spacing w:line="360" w:lineRule="auto"/>
        <w:ind w:firstLine="709"/>
        <w:jc w:val="both"/>
        <w:rPr>
          <w:kern w:val="28"/>
          <w:sz w:val="28"/>
          <w:szCs w:val="28"/>
        </w:rPr>
      </w:pP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Ставки НДС при выполнении строительных работ</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Ставки НДС установлены статьей 11 Закона и при реализации строительных работ применяется ставка налога в размере 18 процентов.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Налоговые вычеты у подрядной организации</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Как мы уже определились, у подрядных организаций при выполнении строительных работ могут возникать обороты по реализации этих работ:</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на территории Республики Беларусь, как облагаемые, так и освобождаемые от налога;</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за пределами Республики Беларусь, не признаваемые объектом.</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Сумма налога на добавленную стоимость, подлежащая уплате плательщиком в бюджет, как общеизвестно, определяется как разница между общей суммой налога на добавленную стоимость, исчисленной по итогам налогового периода, и суммами налоговых вычетов, приходящихся на данный налоговый период.</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одним из необходимых условий для определения обязательств перед бюджетом по налогу на добавленную стоимость является установление размера налоговых вычетов.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процессе осуществления предпринимательской деятельности налогоплательщиками приобретаются различные объекты, по которым производится предъявление и уплата налога на добавленную стоимость.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Обязательным условием для отнесения суммы налога на добавленную стоимость к налоговым вычетам является то, что суммы налога на добавленную стоимость при приобретении объектов должны быть предъявлены к оплате продавцами, которые состоят на учете в налоговых органах Республики Беларусь в качестве плательщика налога.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соответствии с пунктом 5 статьи 16 Закона вычетам подлежат:</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предъявленные плательщику суммы налога при приобретении товаров (работ, услуг), имущественных прав на объекты интеллектуальной собственности вне зависимости от периода погашения задолженности за приобретаемые товары (работы, услуги), имущественные права на объекты интеллектуальной собственности либо уплаченные плательщиком при ввозе товаров на таможенную территорию Республики Беларусь после их отражения в бухгалтерском учете и книге покупок, являющейся регистром налогового учета, - для плательщиков, определяющих момент фактической реализации объектов по "отгрузке";</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фактически уплаченные плательщиком суммы налога при приобретении товаров (работ, услуг), имущественных прав на объекты интеллектуальной собственности либо при ввозе товаров на таможенную территорию Республики Беларусь после отражения их в бухгалтерском учете и книге покупок, являющейся регистром налогового учета, - для плательщиков, определяющих момент фактической реализации объектов по "оплате".</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Положением о некоторых особенностях применения налоговых вычетов и исчисления налоговой базы по налогу на добавленную стоимость, утвержденным Указом Президента Республики Беларусь от 15.06.2006 № 397 "О некоторых вопросах исчисления и уплаты акцизов и налога на добавленную стоимость", установлено, что вычет сумм налога, уплаченных при приобретении объектов или ввозе товаров на таможенную территорию Республики Беларусь, производится в полном объеме:</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по товарам (работам, услугам), при реализации которых применяется ставка налога на добавленную стоимость в размере ноль (0) процентов;</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по товарам (работам, услугам), облагаемым налогом на добавленную стоимость поставке 18 процентов и используемым для производства и (или) реализации товаров (работ, услуг), которые облагаются налогом на добавленную стоимость по ставке 10 процентов;</w:t>
      </w:r>
    </w:p>
    <w:p w:rsidR="00904072" w:rsidRPr="00BE56B9" w:rsidRDefault="00904072" w:rsidP="00BE56B9">
      <w:pPr>
        <w:numPr>
          <w:ilvl w:val="0"/>
          <w:numId w:val="1"/>
        </w:numPr>
        <w:autoSpaceDE w:val="0"/>
        <w:autoSpaceDN w:val="0"/>
        <w:adjustRightInd w:val="0"/>
        <w:spacing w:line="360" w:lineRule="auto"/>
        <w:ind w:left="0" w:firstLine="709"/>
        <w:jc w:val="both"/>
        <w:rPr>
          <w:kern w:val="28"/>
          <w:sz w:val="28"/>
          <w:szCs w:val="28"/>
        </w:rPr>
      </w:pPr>
      <w:r w:rsidRPr="00BE56B9">
        <w:rPr>
          <w:kern w:val="28"/>
          <w:sz w:val="28"/>
          <w:szCs w:val="28"/>
        </w:rPr>
        <w:t>у плательщиков, находящихся в процессе ликвидации (прекращения деятельности), а также в связи с прекращением предпринимательской деятельности, не связанной с ликвидацией субъекта, в соответствии с законодательством.</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Вычет сумм налога на добавленную стоимость, уплаченных при приобретении объектов или ввозе товаров на таможенную территорию Республики Беларусь, в остальных случаях производится нарастающим итогом в пределах сумм налога на добавленную стоимость, исчисленного по реализации объектов. Исходя из этого, вычет сумм налога на добавленную стоимость, уплаченных при приобретении (ввозе) объектов, использованных при выполнении строительных работ, производится только в пределах сумм налога на добавленную стоимость, исчисленных от операций по реализации объектов, так как обороты по реализации этих работ подлежат обложению по ставке 18 процентов и вышеизложенные случаи вычета сумм налога независимо от исчисленной суммы налога на такие обороты по реализации не распространяются.</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выполнении строительных работ за пределами Республики Беларусь подрядными организациями (их структурными подразделениями суммы налога на добавленную стоимость, приходящиеся на эти работы, вычету не подлежат, так как Инструкцией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утвержденной постановлением Министерства по налогам и сборам Республики Беларусь от 05.02.2007 № 22 (далее - Инструкция), установлено, в строках 15, 15а, 15б, 15в не указываются суммы налога по операциям, отраженным в строках 8 и 8а налоговой декларации (расчета) по НДС. В строке 8а налоговой декларации (расчета) по НДС отражаются показатели при реализации объектов за пределами Республики Беларусь. Отражение оборотов в строках 8 и 8а означает неисчисление НДС по этим оборотам объектов с отнесением налоговых вычетов по этим оборотам на затраты и (или) на стоимость объектов.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связи с тем, что некоторые обороты по реализации строительных работ освобождаются от налога на добавленную стоимость, то следует учитывать, что суммы налога, уплаченные плательщиком при приобретении либо при ввозе на таможенную территорию Республики Беларусь объектов, за исключением основных средств и нематериальных активов, относятся на затраты плательщика по производству и реализации объектов в случае использования приобретенных объектов, за исключением основных средств и нематериальных активов, для производства и (или) реализации объектов, обороты по реализации которых в соответствии с законодательством Республики Беларусь освобождены от налогообложения.</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Таким образом, при выполнении строительных работ может возникнуть необходимость в определении сумм налога на добавленную стоимость, уплаченных при приобретении (ввозе) объектов, подлежащих вычету, а также сумм налога, подлежащих отнесению на затраты подрядных организаций по выполнению строительных работ.</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реализации подрядчиком работ, налоговые вычеты по которым производятся в различном порядке, распределение общей суммы налоговых вычетов между этими оборотами производится двумя методами. Применение одного из двух методов распределения налоговых вычетов в отношении определенных плательщиком сумм налога (удельный вес либо раздельный учет) производится как минимум в течение одного календарного года.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Применяемый метод распределения налоговых вычетов утверждается учетной политикой. При отсутствии в учетной политике указания о применяемом методе распределения налоговых вычетов все налоговые вычеты распределяются методом удельного веса.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Раздельный учет налоговых вычетов предполагает наличие информации о суммах НДС, уплаченных при приобретении (ввозе) объектов, относимых на затраты по операциям по реализации, исчисление либо неисчисление налога на добавленную стоимость по которым производится в одном порядке. Суммы этих налоговых вычетов должны учитываться на отдельном субсчете счета 18 "НДС по приобретенным товарам, работам, услугам" либо в отдельной книге покупок.</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Однако, не всегда представляется возможным проведение раздельного учета сумм НДС, уплаченных при приобретении объектов, и используемых только для осуществления определенных оборотов по реализации объектов.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В случае одновременного использования приобретенных (ввезенных) объектов, за исключением основных средств и нематериальных активов, для производства и (или) реализации объектов, операции по реализации которых освобождены от налогообложения, и объектов, операции по реализации которых подлежат налогообложению, отнесение суммы налога, уплаченной плательщиком, на затраты плательщика по производству и реализации объектов осуществляется нарастающим итогом с начала года исходя из доли оборота по реализации объектов, освобожденных от налогообложения, в общей сумме оборота по реализации объектов.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Например, это суммы налога, приходящиеся к общехозяйственным расходам, которые относятся ко всем осуществляемым оборотам по реализации объектов. При осуществлении раздельного учета сумм налога на добавленную стоимость, прямо относящимся к определенным видам оборотов, должно применяться распределение налоговых вычетов, относящихся к общехозяйственным оборотам, с применением удельного веса определенного вида оборотов в общей сумме оборотов по реализации объектов.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определении методом удельного веса налоговых вычетов, приходящихся к определенной сумме оборота по реализации, необходимо эту сумму оборота разделить на общую сумму оборота по реализации и умножить на сумму налоговых вычетов, приходящихся на общую сумму оборота по реализации. Процент удельного веса рассчитывается с точностью не менее четырех знаков после запятой. При распределении налоговых вычетов по объектам методом удельного веса в распределении не участвуют налоговые вычеты прошлого года. Распределение по удельному весу сумм налога производится в месяце наступления права на их вычет.</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При этом, при определении удельного веса, принимаемого для распределения налоговых вычетов, есть исключения, которыми являются:</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суммы санкции за нарушение покупателями (заказчиками) условий договоров;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налоговая база по приобретенным товарам (работам, услугам), освобожденным от налога, переданным для собственного потребления непроизводственного характера;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цена приобретения реализованных ценных бумаг;</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стоимость реализованных долей в уставных фондах организаций;</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налоговая база и сумма налога по объектам, приобретенным на территории Республики Беларусь, у иностранных организаций, не состоящих на учете в налоговых органах Республики Беларусь;</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налоговая база и сумма налога по объектам (этапам) завершенного капитального строительства, принятым на учет в качестве основных средств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Таким образом, когда производится определение налоговых вычетов при исчислении налога на добавленную стоимость, то при установлении части оборота, на которую производится распределение этих вычетов, не принимаются суммы от вышеуказанных операций. Исключение из суммы оборота таких операций для определения удельного веса является общим правилом для любого распределения сумм налоговых вычетов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Следовательно, при наличии различных оборотов по реализации строительных работ подрядным организациям либо следует вести раздельный учет сумм налога на добавленную стоимость, либо производить их распределение с применением удельного веса.</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Сумма налоговой базы и сумма налога подрядчиком в налоговой декларации по НДС отражаются по строке 2, а сумма налоговых вычетов по строке 15в.</w:t>
      </w:r>
    </w:p>
    <w:p w:rsidR="00904072" w:rsidRPr="00BE56B9" w:rsidRDefault="00904072" w:rsidP="00BE56B9">
      <w:pPr>
        <w:autoSpaceDE w:val="0"/>
        <w:autoSpaceDN w:val="0"/>
        <w:adjustRightInd w:val="0"/>
        <w:spacing w:line="360" w:lineRule="auto"/>
        <w:ind w:firstLine="709"/>
        <w:jc w:val="both"/>
        <w:rPr>
          <w:kern w:val="28"/>
          <w:sz w:val="28"/>
          <w:szCs w:val="28"/>
        </w:rPr>
      </w:pPr>
      <w:r w:rsidRPr="00BE56B9">
        <w:rPr>
          <w:kern w:val="28"/>
          <w:sz w:val="28"/>
          <w:szCs w:val="28"/>
        </w:rPr>
        <w:t>Если работы по строительству освобождаются от обложения налога на добавленную стоимость, то налоговая база по таким работам отражается в налоговой декларации по налогу на добавленную стоимость в строке.</w:t>
      </w:r>
    </w:p>
    <w:p w:rsidR="00904072" w:rsidRPr="00BE56B9" w:rsidRDefault="00904072" w:rsidP="00BE56B9">
      <w:pPr>
        <w:spacing w:line="360" w:lineRule="auto"/>
        <w:jc w:val="center"/>
        <w:rPr>
          <w:b/>
          <w:kern w:val="28"/>
          <w:sz w:val="28"/>
          <w:szCs w:val="28"/>
        </w:rPr>
      </w:pPr>
      <w:r w:rsidRPr="00BE56B9">
        <w:rPr>
          <w:sz w:val="28"/>
          <w:szCs w:val="28"/>
        </w:rPr>
        <w:br w:type="page"/>
      </w:r>
      <w:r w:rsidRPr="00BE56B9">
        <w:rPr>
          <w:b/>
          <w:kern w:val="28"/>
          <w:sz w:val="28"/>
          <w:szCs w:val="28"/>
        </w:rPr>
        <w:t>СПИСОК ИСПОЛЬЗОВАННЫХ ИСТОЧНИКОВ</w:t>
      </w:r>
    </w:p>
    <w:p w:rsidR="00904072" w:rsidRPr="00BE56B9" w:rsidRDefault="00904072" w:rsidP="00BE56B9">
      <w:pPr>
        <w:autoSpaceDE w:val="0"/>
        <w:autoSpaceDN w:val="0"/>
        <w:adjustRightInd w:val="0"/>
        <w:spacing w:line="360" w:lineRule="auto"/>
        <w:ind w:firstLine="709"/>
        <w:jc w:val="both"/>
        <w:rPr>
          <w:kern w:val="28"/>
          <w:sz w:val="28"/>
          <w:szCs w:val="28"/>
        </w:rPr>
      </w:pP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BE56B9">
          <w:rPr>
            <w:rFonts w:ascii="Times New Roman" w:hAnsi="Times New Roman" w:cs="Times New Roman"/>
            <w:kern w:val="28"/>
            <w:sz w:val="28"/>
            <w:szCs w:val="28"/>
          </w:rPr>
          <w:t>24 ноября 1996 года</w:t>
        </w:r>
      </w:smartTag>
      <w:r w:rsidRPr="00BE56B9">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BE56B9">
          <w:rPr>
            <w:rFonts w:ascii="Times New Roman" w:hAnsi="Times New Roman" w:cs="Times New Roman"/>
            <w:kern w:val="28"/>
            <w:sz w:val="28"/>
            <w:szCs w:val="28"/>
          </w:rPr>
          <w:t>24 ноября 1996г.</w:t>
        </w:r>
      </w:smartTag>
      <w:r w:rsidRPr="00BE56B9">
        <w:rPr>
          <w:rFonts w:ascii="Times New Roman" w:hAnsi="Times New Roman" w:cs="Times New Roman"/>
          <w:kern w:val="28"/>
          <w:sz w:val="28"/>
          <w:szCs w:val="28"/>
        </w:rPr>
        <w:t xml:space="preserve"> и </w:t>
      </w:r>
      <w:smartTag w:uri="urn:schemas-microsoft-com:office:smarttags" w:element="date">
        <w:smartTagPr>
          <w:attr w:name="ls" w:val="trans"/>
          <w:attr w:name="Month" w:val="10"/>
          <w:attr w:name="Day" w:val="17"/>
          <w:attr w:name="Year" w:val="2004"/>
        </w:smartTagPr>
        <w:r w:rsidRPr="00BE56B9">
          <w:rPr>
            <w:rFonts w:ascii="Times New Roman" w:hAnsi="Times New Roman" w:cs="Times New Roman"/>
            <w:kern w:val="28"/>
            <w:sz w:val="28"/>
            <w:szCs w:val="28"/>
          </w:rPr>
          <w:t>17 октября 2004г.</w:t>
        </w:r>
      </w:smartTag>
      <w:r w:rsidRPr="00BE56B9">
        <w:rPr>
          <w:rFonts w:ascii="Times New Roman" w:hAnsi="Times New Roman" w:cs="Times New Roman"/>
          <w:kern w:val="28"/>
          <w:sz w:val="28"/>
          <w:szCs w:val="28"/>
        </w:rPr>
        <w:t>). Минск «Беларусь» 2004г.</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ls" w:val="trans"/>
          <w:attr w:name="Month" w:val="11"/>
          <w:attr w:name="Day" w:val="19"/>
          <w:attr w:name="Year" w:val="1998"/>
        </w:smartTagPr>
        <w:r w:rsidRPr="00BE56B9">
          <w:rPr>
            <w:rFonts w:ascii="Times New Roman" w:hAnsi="Times New Roman" w:cs="Times New Roman"/>
            <w:kern w:val="28"/>
            <w:sz w:val="28"/>
            <w:szCs w:val="28"/>
          </w:rPr>
          <w:t>19 ноября 1998г.</w:t>
        </w:r>
      </w:smartTag>
      <w:r w:rsidRPr="00BE56B9">
        <w:rPr>
          <w:rFonts w:ascii="Times New Roman" w:hAnsi="Times New Roman" w:cs="Times New Roman"/>
          <w:kern w:val="28"/>
          <w:sz w:val="28"/>
          <w:szCs w:val="28"/>
        </w:rPr>
        <w:t>: с комментариями к разделам / Коммент. В. Ф. Чигира // Мн.: Амалфея, 1999.</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ls" w:val="trans"/>
          <w:attr w:name="Month" w:val="12"/>
          <w:attr w:name="Day" w:val="19"/>
          <w:attr w:name="Year" w:val="2002"/>
        </w:smartTagPr>
        <w:r w:rsidRPr="00BE56B9">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BE56B9">
            <w:rPr>
              <w:rFonts w:ascii="Times New Roman" w:hAnsi="Times New Roman" w:cs="Times New Roman"/>
              <w:iCs/>
              <w:kern w:val="28"/>
              <w:sz w:val="28"/>
              <w:szCs w:val="28"/>
            </w:rPr>
            <w:t>2002 г</w:t>
          </w:r>
        </w:smartTag>
        <w:r w:rsidRPr="00BE56B9">
          <w:rPr>
            <w:rFonts w:ascii="Times New Roman" w:hAnsi="Times New Roman" w:cs="Times New Roman"/>
            <w:iCs/>
            <w:kern w:val="28"/>
            <w:sz w:val="28"/>
            <w:szCs w:val="28"/>
          </w:rPr>
          <w:t>.</w:t>
        </w:r>
      </w:smartTag>
      <w:r w:rsidRPr="00BE56B9">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ls" w:val="trans"/>
          <w:attr w:name="Month" w:val="11"/>
          <w:attr w:name="Day" w:val="15"/>
          <w:attr w:name="Year" w:val="2002"/>
        </w:smartTagPr>
        <w:r w:rsidRPr="00BE56B9">
          <w:rPr>
            <w:rFonts w:ascii="Times New Roman" w:hAnsi="Times New Roman" w:cs="Times New Roman"/>
            <w:iCs/>
            <w:kern w:val="28"/>
            <w:sz w:val="28"/>
            <w:szCs w:val="28"/>
          </w:rPr>
          <w:t>15 ноября 2002 года</w:t>
        </w:r>
      </w:smartTag>
      <w:r w:rsidRPr="00BE56B9">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ls" w:val="trans"/>
          <w:attr w:name="Month" w:val="12"/>
          <w:attr w:name="Day" w:val="2"/>
          <w:attr w:name="Year" w:val="2002"/>
        </w:smartTagPr>
        <w:r w:rsidRPr="00BE56B9">
          <w:rPr>
            <w:rFonts w:ascii="Times New Roman" w:hAnsi="Times New Roman" w:cs="Times New Roman"/>
            <w:iCs/>
            <w:kern w:val="28"/>
            <w:sz w:val="28"/>
            <w:szCs w:val="28"/>
          </w:rPr>
          <w:t>2 декабря 2002 года</w:t>
        </w:r>
      </w:smartTag>
      <w:r w:rsidRPr="00BE56B9">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1"/>
          <w:attr w:name="Day" w:val="13"/>
          <w:attr w:name="Year" w:val="2003"/>
        </w:smartTagPr>
        <w:r w:rsidRPr="00BE56B9">
          <w:rPr>
            <w:rFonts w:ascii="Times New Roman" w:hAnsi="Times New Roman" w:cs="Times New Roman"/>
            <w:iCs/>
            <w:kern w:val="28"/>
            <w:sz w:val="28"/>
            <w:szCs w:val="28"/>
          </w:rPr>
          <w:t>13.01.2003</w:t>
        </w:r>
      </w:smartTag>
      <w:r w:rsidRPr="00BE56B9">
        <w:rPr>
          <w:rFonts w:ascii="Times New Roman" w:hAnsi="Times New Roman" w:cs="Times New Roman"/>
          <w:iCs/>
          <w:kern w:val="28"/>
          <w:sz w:val="28"/>
          <w:szCs w:val="28"/>
        </w:rPr>
        <w:t xml:space="preserve">, № 4, рег. № 2/920 от </w:t>
      </w:r>
      <w:smartTag w:uri="urn:schemas-microsoft-com:office:smarttags" w:element="date">
        <w:smartTagPr>
          <w:attr w:name="ls" w:val="trans"/>
          <w:attr w:name="Month" w:val="01"/>
          <w:attr w:name="Day" w:val="02"/>
          <w:attr w:name="Year" w:val="2003"/>
        </w:smartTagPr>
        <w:r w:rsidRPr="00BE56B9">
          <w:rPr>
            <w:rFonts w:ascii="Times New Roman" w:hAnsi="Times New Roman" w:cs="Times New Roman"/>
            <w:iCs/>
            <w:kern w:val="28"/>
            <w:sz w:val="28"/>
            <w:szCs w:val="28"/>
          </w:rPr>
          <w:t>02.01.2003</w:t>
        </w:r>
      </w:smartTag>
      <w:r w:rsidRPr="00BE56B9">
        <w:rPr>
          <w:rFonts w:ascii="Times New Roman" w:hAnsi="Times New Roman" w:cs="Times New Roman"/>
          <w:iCs/>
          <w:kern w:val="28"/>
          <w:sz w:val="28"/>
          <w:szCs w:val="28"/>
        </w:rPr>
        <w:t>)</w:t>
      </w:r>
      <w:r w:rsidRPr="00BE56B9">
        <w:rPr>
          <w:rFonts w:ascii="Times New Roman" w:hAnsi="Times New Roman" w:cs="Times New Roman"/>
          <w:kern w:val="28"/>
          <w:sz w:val="28"/>
          <w:szCs w:val="28"/>
        </w:rPr>
        <w:t xml:space="preserve"> с учетом изменений.</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E01CDC">
        <w:rPr>
          <w:rFonts w:ascii="Times New Roman" w:hAnsi="Times New Roman" w:cs="Times New Roman"/>
          <w:kern w:val="28"/>
          <w:sz w:val="28"/>
          <w:szCs w:val="28"/>
        </w:rPr>
        <w:t>Веремейко Юрий</w:t>
      </w:r>
      <w:r w:rsidRPr="00BE56B9">
        <w:rPr>
          <w:rFonts w:ascii="Times New Roman" w:hAnsi="Times New Roman" w:cs="Times New Roman"/>
          <w:kern w:val="28"/>
          <w:sz w:val="28"/>
          <w:szCs w:val="28"/>
        </w:rPr>
        <w:t xml:space="preserve">, </w:t>
      </w:r>
      <w:r w:rsidRPr="00E01CDC">
        <w:rPr>
          <w:rFonts w:ascii="Times New Roman" w:hAnsi="Times New Roman" w:cs="Times New Roman"/>
          <w:kern w:val="28"/>
          <w:sz w:val="28"/>
          <w:szCs w:val="28"/>
        </w:rPr>
        <w:t>Косов Андрей</w:t>
      </w:r>
      <w:r w:rsidRPr="00BE56B9">
        <w:rPr>
          <w:rFonts w:ascii="Times New Roman" w:hAnsi="Times New Roman" w:cs="Times New Roman"/>
          <w:kern w:val="28"/>
          <w:sz w:val="28"/>
          <w:szCs w:val="28"/>
        </w:rPr>
        <w:t xml:space="preserve">, </w:t>
      </w:r>
      <w:r w:rsidRPr="00E01CDC">
        <w:rPr>
          <w:rFonts w:ascii="Times New Roman" w:hAnsi="Times New Roman" w:cs="Times New Roman"/>
          <w:kern w:val="28"/>
          <w:sz w:val="28"/>
          <w:szCs w:val="28"/>
        </w:rPr>
        <w:t>Фадеева Елена</w:t>
      </w:r>
      <w:r w:rsidRPr="00BE56B9">
        <w:rPr>
          <w:rFonts w:ascii="Times New Roman" w:hAnsi="Times New Roman" w:cs="Times New Roman"/>
          <w:kern w:val="28"/>
          <w:sz w:val="28"/>
          <w:szCs w:val="28"/>
        </w:rPr>
        <w:t xml:space="preserve">. </w:t>
      </w:r>
      <w:r w:rsidRPr="00BE56B9">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BE56B9">
        <w:rPr>
          <w:rStyle w:val="gray1"/>
          <w:rFonts w:ascii="Times New Roman" w:hAnsi="Times New Roman"/>
          <w:color w:val="auto"/>
          <w:kern w:val="28"/>
          <w:sz w:val="28"/>
          <w:szCs w:val="28"/>
        </w:rPr>
        <w:t>Издательство</w:t>
      </w:r>
      <w:r w:rsidRPr="00BE56B9">
        <w:rPr>
          <w:rFonts w:ascii="Times New Roman" w:hAnsi="Times New Roman" w:cs="Times New Roman"/>
          <w:kern w:val="28"/>
          <w:sz w:val="28"/>
          <w:szCs w:val="28"/>
        </w:rPr>
        <w:t>: Тесей. Минск.</w:t>
      </w:r>
      <w:r w:rsidRPr="00BE56B9">
        <w:rPr>
          <w:rFonts w:ascii="Times New Roman" w:hAnsi="Times New Roman" w:cs="Times New Roman"/>
          <w:bCs/>
          <w:kern w:val="28"/>
          <w:sz w:val="28"/>
          <w:szCs w:val="28"/>
        </w:rPr>
        <w:t xml:space="preserve"> 2007г.</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Style w:val="orange1"/>
          <w:rFonts w:ascii="Times New Roman" w:hAnsi="Times New Roman"/>
          <w:color w:val="auto"/>
          <w:kern w:val="28"/>
          <w:sz w:val="28"/>
          <w:szCs w:val="28"/>
        </w:rPr>
        <w:t>Кишкевич А.Д., Пилипенко А.А.</w:t>
      </w:r>
      <w:r w:rsidRPr="00BE56B9">
        <w:rPr>
          <w:rFonts w:ascii="Times New Roman" w:hAnsi="Times New Roman" w:cs="Times New Roman"/>
          <w:kern w:val="28"/>
          <w:sz w:val="28"/>
          <w:szCs w:val="28"/>
        </w:rPr>
        <w:t xml:space="preserve">: Налоговое право Республики Беларусь. </w:t>
      </w:r>
      <w:r w:rsidRPr="00BE56B9">
        <w:rPr>
          <w:rStyle w:val="gray1"/>
          <w:rFonts w:ascii="Times New Roman" w:hAnsi="Times New Roman"/>
          <w:color w:val="auto"/>
          <w:kern w:val="28"/>
          <w:sz w:val="28"/>
          <w:szCs w:val="28"/>
        </w:rPr>
        <w:t>Издательство</w:t>
      </w:r>
      <w:r w:rsidRPr="00BE56B9">
        <w:rPr>
          <w:rFonts w:ascii="Times New Roman" w:hAnsi="Times New Roman" w:cs="Times New Roman"/>
          <w:kern w:val="28"/>
          <w:sz w:val="28"/>
          <w:szCs w:val="28"/>
        </w:rPr>
        <w:t>: Тесей. Минск. 2002. 304с.</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Л.А. Ханкевич</w:t>
      </w:r>
      <w:r w:rsidRPr="00BE56B9">
        <w:rPr>
          <w:rFonts w:ascii="Times New Roman" w:hAnsi="Times New Roman" w:cs="Times New Roman"/>
          <w:bCs/>
          <w:kern w:val="28"/>
          <w:sz w:val="28"/>
          <w:szCs w:val="28"/>
        </w:rPr>
        <w:t xml:space="preserve"> </w:t>
      </w:r>
      <w:r w:rsidRPr="00BE56B9">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904072" w:rsidRPr="00BE56B9" w:rsidRDefault="00904072" w:rsidP="00BE56B9">
      <w:pPr>
        <w:numPr>
          <w:ilvl w:val="0"/>
          <w:numId w:val="2"/>
        </w:numPr>
        <w:overflowPunct w:val="0"/>
        <w:autoSpaceDE w:val="0"/>
        <w:autoSpaceDN w:val="0"/>
        <w:adjustRightInd w:val="0"/>
        <w:spacing w:line="360" w:lineRule="auto"/>
        <w:jc w:val="both"/>
        <w:textAlignment w:val="baseline"/>
        <w:rPr>
          <w:kern w:val="28"/>
          <w:sz w:val="28"/>
          <w:szCs w:val="28"/>
        </w:rPr>
      </w:pPr>
      <w:r w:rsidRPr="00BE56B9">
        <w:rPr>
          <w:kern w:val="28"/>
          <w:sz w:val="28"/>
          <w:szCs w:val="28"/>
        </w:rPr>
        <w:t>Финансовое право. Серия «Учебники, учебные пособия» / Под ред. проф. В.М. Мандрина Ростов-на-Дону Издательство «Феникс», 2002.</w:t>
      </w:r>
    </w:p>
    <w:p w:rsidR="00904072" w:rsidRPr="00BE56B9" w:rsidRDefault="00904072" w:rsidP="00BE56B9">
      <w:pPr>
        <w:pStyle w:val="HTML"/>
        <w:numPr>
          <w:ilvl w:val="0"/>
          <w:numId w:val="2"/>
        </w:numPr>
        <w:spacing w:line="360" w:lineRule="auto"/>
        <w:jc w:val="both"/>
        <w:rPr>
          <w:rFonts w:ascii="Times New Roman" w:hAnsi="Times New Roman" w:cs="Times New Roman"/>
          <w:kern w:val="28"/>
          <w:sz w:val="28"/>
          <w:szCs w:val="28"/>
        </w:rPr>
      </w:pPr>
      <w:r w:rsidRPr="00BE56B9">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904072" w:rsidRPr="00BE56B9" w:rsidSect="00BE56B9">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F8" w:rsidRDefault="00CC2FF8">
      <w:r>
        <w:separator/>
      </w:r>
    </w:p>
  </w:endnote>
  <w:endnote w:type="continuationSeparator" w:id="0">
    <w:p w:rsidR="00CC2FF8" w:rsidRDefault="00CC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F8" w:rsidRDefault="00CC2FF8">
      <w:r>
        <w:separator/>
      </w:r>
    </w:p>
  </w:footnote>
  <w:footnote w:type="continuationSeparator" w:id="0">
    <w:p w:rsidR="00CC2FF8" w:rsidRDefault="00CC2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E01CDC" w:rsidP="00ED13F6">
    <w:pPr>
      <w:pStyle w:val="a3"/>
      <w:framePr w:wrap="around"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E90AB"/>
    <w:multiLevelType w:val="multilevel"/>
    <w:tmpl w:val="5216E55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1720FD"/>
    <w:rsid w:val="00654214"/>
    <w:rsid w:val="006D0CBF"/>
    <w:rsid w:val="0072715E"/>
    <w:rsid w:val="00840A43"/>
    <w:rsid w:val="00904072"/>
    <w:rsid w:val="00AE025E"/>
    <w:rsid w:val="00BE56B9"/>
    <w:rsid w:val="00CC2FF8"/>
    <w:rsid w:val="00E01CDC"/>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993AF29E-52DB-48DE-9C9F-CCB6F264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rPr>
      <w:rFonts w:cs="Times New Roman"/>
    </w:rPr>
  </w:style>
  <w:style w:type="paragraph" w:styleId="HTML">
    <w:name w:val="HTML Preformatted"/>
    <w:basedOn w:val="a"/>
    <w:link w:val="HTML0"/>
    <w:uiPriority w:val="99"/>
    <w:rsid w:val="00904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904072"/>
    <w:rPr>
      <w:rFonts w:cs="Times New Roman"/>
      <w:color w:val="0000FF"/>
      <w:u w:val="single"/>
    </w:rPr>
  </w:style>
  <w:style w:type="character" w:customStyle="1" w:styleId="orange1">
    <w:name w:val="orange1"/>
    <w:rsid w:val="00904072"/>
    <w:rPr>
      <w:rFonts w:cs="Times New Roman"/>
      <w:color w:val="FF9900"/>
    </w:rPr>
  </w:style>
  <w:style w:type="character" w:customStyle="1" w:styleId="gray1">
    <w:name w:val="gray1"/>
    <w:rsid w:val="00904072"/>
    <w:rPr>
      <w:rFonts w:cs="Times New Roman"/>
      <w:color w:val="808080"/>
    </w:rPr>
  </w:style>
  <w:style w:type="table" w:styleId="a7">
    <w:name w:val="Table Grid"/>
    <w:basedOn w:val="a1"/>
    <w:uiPriority w:val="59"/>
    <w:rsid w:val="00BE56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ИСЧИСЛЕНИЕ И УПЛАТА НАЛОГА НА ДОБАВЛЕННУЮ СТОИ-МОСТЬ ПОДРЯДНЫМИ ОРГАНИЗАЦИЯМИ</vt:lpstr>
    </vt:vector>
  </TitlesOfParts>
  <Company>Microsoft</Company>
  <LinksUpToDate>false</LinksUpToDate>
  <CharactersWithSpaces>29141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И УПЛАТА НАЛОГА НА ДОБАВЛЕННУЮ СТОИ-МОСТЬ ПОДРЯДНЫМИ ОРГАНИЗАЦИЯМИ</dc:title>
  <dc:subject/>
  <dc:creator>Admin</dc:creator>
  <cp:keywords/>
  <dc:description/>
  <cp:lastModifiedBy>admin</cp:lastModifiedBy>
  <cp:revision>2</cp:revision>
  <dcterms:created xsi:type="dcterms:W3CDTF">2014-03-12T14:43:00Z</dcterms:created>
  <dcterms:modified xsi:type="dcterms:W3CDTF">2014-03-12T14:43:00Z</dcterms:modified>
</cp:coreProperties>
</file>