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6D06" w:rsidRPr="00CA7E20" w:rsidRDefault="00C56D06" w:rsidP="00CA7E20">
      <w:pPr>
        <w:autoSpaceDE w:val="0"/>
        <w:autoSpaceDN w:val="0"/>
        <w:adjustRightInd w:val="0"/>
        <w:spacing w:line="360" w:lineRule="auto"/>
        <w:jc w:val="center"/>
        <w:rPr>
          <w:b/>
          <w:bCs/>
          <w:caps/>
          <w:color w:val="000000"/>
          <w:kern w:val="28"/>
          <w:sz w:val="28"/>
          <w:szCs w:val="28"/>
        </w:rPr>
      </w:pPr>
      <w:r w:rsidRPr="00CA7E20">
        <w:rPr>
          <w:b/>
          <w:bCs/>
          <w:caps/>
          <w:color w:val="000000"/>
          <w:kern w:val="28"/>
          <w:sz w:val="28"/>
          <w:szCs w:val="28"/>
        </w:rPr>
        <w:t>Исчисление НДС по периодическим изданиям</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Практически каждый субъект предпринимательской деятельности пользуется информацией, размещаемой в периодических изданиях. Вместе с тем, подписка на периодические издания является хозяйственной операцией, которая имеет налоговые последствия. Кроме того, необходимость исчисления НДС по оборотам по реализации возникает у организаций, выпускающих такие издания.</w:t>
      </w:r>
    </w:p>
    <w:p w:rsidR="00C56D06" w:rsidRDefault="00C56D06" w:rsidP="00CA7E20">
      <w:pPr>
        <w:autoSpaceDE w:val="0"/>
        <w:autoSpaceDN w:val="0"/>
        <w:adjustRightInd w:val="0"/>
        <w:spacing w:line="360" w:lineRule="auto"/>
        <w:ind w:firstLine="709"/>
        <w:jc w:val="both"/>
        <w:rPr>
          <w:color w:val="000000"/>
          <w:kern w:val="28"/>
          <w:sz w:val="28"/>
          <w:szCs w:val="28"/>
          <w:lang w:val="en-US"/>
        </w:rPr>
      </w:pPr>
      <w:r w:rsidRPr="00CA7E20">
        <w:rPr>
          <w:color w:val="000000"/>
          <w:kern w:val="28"/>
          <w:sz w:val="28"/>
          <w:szCs w:val="28"/>
        </w:rPr>
        <w:t>Рассмотрим наиболее актуальные ситуации, встречающиеся в практике налогообложения периодических изданий, реализуемых (приобретаемых) по подписке.</w:t>
      </w:r>
    </w:p>
    <w:p w:rsidR="00CA7E20" w:rsidRPr="00CA7E20" w:rsidRDefault="00CA7E20" w:rsidP="00CA7E20">
      <w:pPr>
        <w:autoSpaceDE w:val="0"/>
        <w:autoSpaceDN w:val="0"/>
        <w:adjustRightInd w:val="0"/>
        <w:spacing w:line="360" w:lineRule="auto"/>
        <w:ind w:firstLine="709"/>
        <w:jc w:val="both"/>
        <w:rPr>
          <w:color w:val="000000"/>
          <w:kern w:val="28"/>
          <w:sz w:val="28"/>
          <w:szCs w:val="28"/>
          <w:lang w:val="en-US"/>
        </w:rPr>
      </w:pPr>
    </w:p>
    <w:p w:rsidR="002F7A68" w:rsidRDefault="00C56D06" w:rsidP="00DB3BB9">
      <w:pPr>
        <w:autoSpaceDE w:val="0"/>
        <w:autoSpaceDN w:val="0"/>
        <w:adjustRightInd w:val="0"/>
        <w:spacing w:line="360" w:lineRule="auto"/>
        <w:ind w:firstLine="709"/>
        <w:jc w:val="both"/>
        <w:rPr>
          <w:b/>
          <w:bCs/>
          <w:color w:val="000000"/>
          <w:kern w:val="28"/>
          <w:sz w:val="28"/>
          <w:szCs w:val="28"/>
        </w:rPr>
      </w:pPr>
      <w:r w:rsidRPr="002F7A68">
        <w:rPr>
          <w:b/>
          <w:bCs/>
          <w:color w:val="000000"/>
          <w:kern w:val="28"/>
          <w:sz w:val="28"/>
          <w:szCs w:val="28"/>
        </w:rPr>
        <w:t xml:space="preserve">Исчисление и вычет НДС организациями, издающими печатные </w:t>
      </w:r>
    </w:p>
    <w:p w:rsidR="00C56D06" w:rsidRPr="002F7A68" w:rsidRDefault="00C56D06" w:rsidP="00DB3BB9">
      <w:pPr>
        <w:autoSpaceDE w:val="0"/>
        <w:autoSpaceDN w:val="0"/>
        <w:adjustRightInd w:val="0"/>
        <w:spacing w:line="360" w:lineRule="auto"/>
        <w:ind w:firstLine="709"/>
        <w:jc w:val="both"/>
        <w:rPr>
          <w:b/>
          <w:bCs/>
          <w:color w:val="000000"/>
          <w:kern w:val="28"/>
          <w:sz w:val="28"/>
          <w:szCs w:val="28"/>
        </w:rPr>
      </w:pPr>
      <w:r w:rsidRPr="002F7A68">
        <w:rPr>
          <w:b/>
          <w:bCs/>
          <w:color w:val="000000"/>
          <w:kern w:val="28"/>
          <w:sz w:val="28"/>
          <w:szCs w:val="28"/>
        </w:rPr>
        <w:t>средства массовой информации</w:t>
      </w:r>
    </w:p>
    <w:p w:rsidR="00CA7E20" w:rsidRPr="00DB3BB9" w:rsidRDefault="00CA7E20" w:rsidP="00CA7E20">
      <w:pPr>
        <w:autoSpaceDE w:val="0"/>
        <w:autoSpaceDN w:val="0"/>
        <w:adjustRightInd w:val="0"/>
        <w:spacing w:line="360" w:lineRule="auto"/>
        <w:ind w:firstLine="709"/>
        <w:jc w:val="both"/>
        <w:rPr>
          <w:color w:val="000000"/>
          <w:kern w:val="28"/>
          <w:sz w:val="28"/>
          <w:szCs w:val="28"/>
        </w:rPr>
      </w:pP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Пример</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Организация, выпускающая периодическое издание, согласно установленному порядку бесплатно передает экземпляры изданий в библиотеки.</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 постановлением Совета Министров Республики Беларусь от 04.08.2006 № 1012 "Об утверждении состава затрат по производству и реализации продукции, учитываемых при налогообложении прибыли и относящихся к особенностям состава затрат в издательской деятельности" в затраты по производству и реализации продукции, учитываемые при налогообложении прибыли и относящиеся к особенностям состава затрат в издательской деятельности, относятся затраты на изготовление и рассылку обязательных бесплатных экземпляров, рассылаемых по перечню, утверждаемому Советом Министров Республики Беларусь. Указанный перечень утвержден постановлением Кабинета Министров Республики Беларусь от 24.06.1996 № 419.</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Согласно п.1 ст.6 Закона Республики Беларусь "О налоге на добавленную стоимость" (далее - Закон, Закон "Об НДС") налоговая база при реализации товаров (работ, услуг), имущественных прав определяется с учетом положения п. 4 ст. 6 Закона как стоимость этих товаров (работ, услуг), имущественных прав, исчисленная исходя из:</w:t>
      </w:r>
    </w:p>
    <w:p w:rsidR="00C56D06" w:rsidRPr="00CA7E20" w:rsidRDefault="00C56D06" w:rsidP="00CA7E20">
      <w:pPr>
        <w:numPr>
          <w:ilvl w:val="1"/>
          <w:numId w:val="1"/>
        </w:numPr>
        <w:autoSpaceDE w:val="0"/>
        <w:autoSpaceDN w:val="0"/>
        <w:adjustRightInd w:val="0"/>
        <w:spacing w:line="360" w:lineRule="auto"/>
        <w:ind w:left="0" w:firstLine="709"/>
        <w:jc w:val="both"/>
        <w:rPr>
          <w:color w:val="000000"/>
          <w:kern w:val="28"/>
          <w:sz w:val="28"/>
          <w:szCs w:val="28"/>
        </w:rPr>
      </w:pPr>
      <w:r w:rsidRPr="00CA7E20">
        <w:rPr>
          <w:color w:val="000000"/>
          <w:kern w:val="28"/>
          <w:sz w:val="28"/>
          <w:szCs w:val="28"/>
        </w:rPr>
        <w:t>- применяемых цен (тарифов) на товары (работы, услуги), имущественные права с учетом акцизов (для подакцизных товаров) без включения в них налога;</w:t>
      </w:r>
    </w:p>
    <w:p w:rsidR="00C56D06" w:rsidRPr="00CA7E20" w:rsidRDefault="00C56D06" w:rsidP="00CA7E20">
      <w:pPr>
        <w:numPr>
          <w:ilvl w:val="1"/>
          <w:numId w:val="1"/>
        </w:numPr>
        <w:autoSpaceDE w:val="0"/>
        <w:autoSpaceDN w:val="0"/>
        <w:adjustRightInd w:val="0"/>
        <w:spacing w:line="360" w:lineRule="auto"/>
        <w:ind w:left="0" w:firstLine="709"/>
        <w:jc w:val="both"/>
        <w:rPr>
          <w:color w:val="000000"/>
          <w:kern w:val="28"/>
          <w:sz w:val="28"/>
          <w:szCs w:val="28"/>
        </w:rPr>
      </w:pPr>
      <w:r w:rsidRPr="00CA7E20">
        <w:rPr>
          <w:color w:val="000000"/>
          <w:kern w:val="28"/>
          <w:sz w:val="28"/>
          <w:szCs w:val="28"/>
        </w:rPr>
        <w:t>- регулируемых розничных цен (тарифов), включающих в себя налог.</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Подпунктом 2.1 Положения о порядке формирования и применения цен и тарифов, утвержденного постановлением Министерства экономики от 22.04.1999 № 43, установлено, что Отпускные цены на продукцию производственно-технического назначения, товары народного потребления и тарифы на услуги (работы) формируются на основе плановой себестоимости, всех видов установленных налогов и неналоговых платежей в соответствии с налоговым и бюджетным законодательством, прибыли, необходимой для воспроизводства, определяемой с учетом качества продукции (товаров, работ, услуг) и конъюнктуры рынка.</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Включение затрат в себестоимость продукции (товаров, работ, услуг) производится в соответствии с Основными положениями по составу затрат, включаемых в себестоимость продукции (работ, услуг), утвержденными Министерством экономики, Министерством финансов, Министерством статистики и анализа и Министерством труда от 30.01.1998 (зарегистрированы в Реестре государственной регистрации 11.02.1998, регистрационный № 2293/12), отраслевыми особенностями состава затрат, утверждаемыми в установленном Основными положениями порядке, отраслевыми методическими рекомендациями по вопросам планирования, учета и калькулирования себестоимости продукции (работ, услуг), утверждаемыми соответствующими отраслевыми министерствами, объединениями, подчиненными Правительству Республики Беларусь.</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Таким образом, затраты по бесплатно розданным в обязательном порядке изданиям включаются в себестоимость издательской продукции в составе цены реализации облагаются НДС.</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Соответственно, оборот по обязательной безвозмездной передаче указанных изданий не подлежит обложению НДС.</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 безвозмездной передаче изданий организациям или лицам, не поименованным в указанном перечне, производится исчисление НДС, за исключением случая, когда такая передача осуществляется в рекламных целях и относится на затраты в пределах установленных норм (налог в такой ситуации не исчисляется ни в пределах норм отнесения на затраты, ни сверх норм, об этом - см. ниже).</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Пример</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Редакцией газеты проводятся дни подписчика, на которых организовывается сладкий стол для детей, взрослым и детям передаются сувениры.</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Согласно подп. 1.1.4 ст.2 Закона объектом налогообложения признаются обороты по безвозмездной передаче товаров (работ, услуг), имущественных прав на территории Республики Беларусь, за исключением отдельных случаев безвозмездной передачи, перечисленных в подп. 1.16 ст.3 Закона.</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со ст. 543 Гражданского кодекса Республики Беларусь 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к третьему лицу, либо освобождает или обязуется освободить ее от имущественной обязанности перед собой или перед третьим лицом. Таким образом, дарение подразумевает наличие двух сторон: дарителя и одаряемого.</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Таким образом, безвозмездная передача товаров в виде подарков облагается НДС по соответствующей ставке, если она производится конкретным лицам. Указанный порядок применялся и в 2007 г.</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случае, когда подарок передается в виде приза не конкретному лицу, а группе лиц, то данная операция рассматривается не как безвозмездная передача, а как собственное потребление непроизводственного характера объектов, и не подлежит в 2008 году налогообложению.</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Вместе с тем, ст. 2 Закона Республики Беларусь "О рекламе" установлено, что реклама - это информация об объекте рекламирования, распространяемая в любой форме с помощью любых средств, предназначенная для неопределенного круга лиц (потребителей рекламы), направленная на привлечение внимания к объекту рекламирования, формирование или поддержание интереса к нему и (или) его продвижение на рынке.</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 распространении товаров в рекламных целях организация, являющаяся рекламодателем, одновременно выполняет функции рекламораспространителя для собственного потребления.</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Указом Президента Республики Беларусь от 15.06.2006 № 398 утверждены нормы расходов организаций и индивидуальных предпринимателей на рекламу, маркетинговые, консультационные и информационные услуги, включаемых в состав затрат по производству и реализации продукции, товаров (работ, услуг), учитываемых при налогообложении. Расходы сверх норм не уменьшают налогооблагаемую прибыль, т.е. относятся за счет собственных средств организации.</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Таким образом, расходы по распространению информации о юридическом или физическом лице путем передачи товаров неопределенному кругу лиц, подлежащие нормативному распределению в качестве расходов на рекламу, в целях исчисления налога на добавленную стоимость признаются не безвозмездной передачей товара, а собственным потреблением непроизводственного характера и в 2008 г. не облагаются НДС. Аналогичный подход применяется к передаче товаров в рамках представительских расходов.</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Следовательно, передача сувениров или блюд (сладкий стол) в рекламных или представительских целях неопределенному кругу лиц, относящаяся к расходам на рекламу или представительским расходам, не является объектом налогообложения как в пределах установленных норм, так и сверх них.</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Пример</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Редакция производит уценку нереализованных периодических изданий, а затем сдает их макулатуру.</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со ст.2 Закона "О налогах на доходы и прибыль" в состав расходов от внереализационных операций учитываемых при определении облагаемой налогом прибыли, включаются потери от уценки производственных запасов и готовой продукции, произведенной в соответствии с законодательством.</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Данный порядок применяется в отношении потерь от уценки нереализованных изданий до цены их возможной реализации.</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со ст. 2 Закона "Об НДС" объектами налогообложения признаются обороты по реализации товаров (работ, услуг), имущественных прав на территории Республики Беларусь. При уценке нереализованных изданий оборот по реализации отсутствует, соответственно, не имеется и объекта для исчисления НДС.</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Вместе с тем, при сдаче периодических изданий в макулатуру следует исчислить НДС, поскольку возникает оборот по реализации товара.</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Пример</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 условиями договора нереализованные торговой сетью экземпляры газет и журналов не подлежат возврату редакции.</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со ст.2 Закона объектом налогообложения признаются обороты по реализации товаров (работ, услуг), имущественных прав на территории Республики Беларусь.</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Поскольку в рассматриваемом случае факт реализации товаров - периодических изданий отсутствует, соответственно, отсутствует объект обложения НДС.</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связи с этим, выручка, а также затраты по производству издательской продукции для целей налогообложения подлежат корректировке в порядке, аналогичном установленному Инструкцией по планированию, учету и калькулированию себестоимости издательской продукции, утвержденной приказом Государственного комитета Республики Беларусь по печати от 29.09.1999 № 314.</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Потери от данной хозяйственной операции учитываются в составе внереализационных расходов в соответствии с п.2 ст.2 Закона Республики Беларусь "О налогах на доходы и прибыль".</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Данная позиция изложена в письме Министерства по налогам и сборам от 01.03.2005 № 2-2-12/8100-2, направленном в адрес Министерства информации Республики Беларусь.</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Пример</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Выручка от реализации изданий по подписке поступает на счета редакций, а затем ее часть перечисляется "Белпочте" за оказанные услуги по оформлению подписки. Что является базой для НДС у редакции: вся поступившая выручка или выручка за минусом стоимости услуг связи, оказанных "Белпочтой"?</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 п. 19 ст. 7 Закона, если на счета редакций поступает не вся стоимость тиража газеты (журнала), а только стоимость тиража за вычетом остающихся на счетах организаций связи сумм оплаты услуг связи согласно установленным тарифам (при реализации газет по подписке), сумм оплаты за услуги, оказанные торговыми республиканскими унитарными предприятиями "Белсоюзпечать" (при оформлении подписки и выдаче газет (журналов) через торговую сеть этих организаций), или сумм оплаты расходов торговых республиканских унитарных предприятий "Белсоюзпечать" и республиканского унитарного предприятия "Белпочта" (при задействовании в процессе реализации газет обеих этих организаций), налоговой базой редакции является выручка, поступившая на счет редакции. Указанное требование распространяется на реализуемые редакциями покупные газеты (журналы), в том числе зарубежные.</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Одновременно согласно п. 2 ст. 6 Закона при определении налоговой базы оборот от реализации товаров (работ, услуг), имущественных прав определяется исходя из всех поступлений плательщика, полученных им в денежной, натуральной и иных формах.</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Учитывая изложенное, если на счет редакции поступила выручка с учетом причитающейся "Белпочте" стоимости услуг связи, то налоговая база по НДС определяется редакцией в общеустановленном порядке, т.е. как сумма поступившей выручки.</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Пример</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Редакция (комитент) заключила договор комиссии с организацией "Белсоюзпечати" (комиссионер) на реализацию периодических изданий. Согласно договору комиссионер удерживает причитающееся ему вознаграждение из суммы, полученной от покупателя.</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 п.1 и 2 ст.7 Закона налоговая база при реализации товаров (работ, услуг), имущественных прав определяется с учетом положения п. 4 ст. 6 Закона как стоимость этих товаров (работ, услуг), имущественных прав, исчисленная исходя из:</w:t>
      </w:r>
    </w:p>
    <w:p w:rsidR="00C56D06" w:rsidRPr="00CA7E20" w:rsidRDefault="00C56D06" w:rsidP="00CA7E20">
      <w:pPr>
        <w:numPr>
          <w:ilvl w:val="1"/>
          <w:numId w:val="1"/>
        </w:numPr>
        <w:autoSpaceDE w:val="0"/>
        <w:autoSpaceDN w:val="0"/>
        <w:adjustRightInd w:val="0"/>
        <w:spacing w:line="360" w:lineRule="auto"/>
        <w:ind w:left="0" w:firstLine="709"/>
        <w:jc w:val="both"/>
        <w:rPr>
          <w:color w:val="000000"/>
          <w:kern w:val="28"/>
          <w:sz w:val="28"/>
          <w:szCs w:val="28"/>
        </w:rPr>
      </w:pPr>
      <w:r w:rsidRPr="00CA7E20">
        <w:rPr>
          <w:color w:val="000000"/>
          <w:kern w:val="28"/>
          <w:sz w:val="28"/>
          <w:szCs w:val="28"/>
        </w:rPr>
        <w:t>- применяемых цен (тарифов) на товары (работы, услуги), имущественные права с учетом акцизов (для подакцизных товаров) без включения в них налога;</w:t>
      </w:r>
    </w:p>
    <w:p w:rsidR="00C56D06" w:rsidRPr="00CA7E20" w:rsidRDefault="00C56D06" w:rsidP="00CA7E20">
      <w:pPr>
        <w:numPr>
          <w:ilvl w:val="1"/>
          <w:numId w:val="1"/>
        </w:numPr>
        <w:autoSpaceDE w:val="0"/>
        <w:autoSpaceDN w:val="0"/>
        <w:adjustRightInd w:val="0"/>
        <w:spacing w:line="360" w:lineRule="auto"/>
        <w:ind w:left="0" w:firstLine="709"/>
        <w:jc w:val="both"/>
        <w:rPr>
          <w:color w:val="000000"/>
          <w:kern w:val="28"/>
          <w:sz w:val="28"/>
          <w:szCs w:val="28"/>
        </w:rPr>
      </w:pPr>
      <w:r w:rsidRPr="00CA7E20">
        <w:rPr>
          <w:color w:val="000000"/>
          <w:kern w:val="28"/>
          <w:sz w:val="28"/>
          <w:szCs w:val="28"/>
        </w:rPr>
        <w:t>- регулируемых розничных цен (тарифов), включающих в себя налог.</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Данное положение распространяется также на операции по реализации товаров (работ, услуг), имущественных прав их собственником, правообладателем на основе договоров поручения, комиссии или консигнации либо иных аналогичных договоров.</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Таким образом, у комитента налоговой базой является вся стоимость товара (периодических изданий), с учетом выплачиваемого комиссионеру вознаграждения.</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Вместе с тем, согласно п. 19 ст.7 Закона, если на счета редакций поступает не вся стоимость тиража газеты (журнала), а только стоимость тиража за вычетом остающихся на счетах организаций связи сумм оплаты услуг связи согласно установленным тарифам (при реализации газет по подписке), сумм оплаты за услуги, оказанные торговыми республиканскими унитарными предприятиями "Белсоюзпечать" (при оформлении подписки и выдаче газет (журналов) через торговую сеть этих организаций), или сумм оплаты расходов торговых республиканских унитарных предприятий "Белсоюзпечать" и республиканского унитарного предприятия "Белпочта" (при задействовании в процессе реализации газет обеих этих организаций), налоговой базой редакции является выручка, поступившая на счет редакции. Указанное требование распространяется на реализуемые редакциями покупные газеты (журналы), в том числе зарубежные.</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Следовательно, так как сумма комиссионного вознаграждения по условиям договора удерживается комиссионером и не поступает на счет редакции, то в налоговую базу у редакции оно не включается.</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Поскольку комиссионное вознаграждение у редакции не облагается налогом на добавленную стоимость, то сумма НДС, предъявленная комиссионером из стоимости его услуг, не подлежит вычету.</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Пример</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Редакция заключила договор подряда с резидентом Украины на печатание периодического издания, оригинал-макет которого передается на Украину по электронной почте.</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со ст.1-2 Закона при реализации товаров (работ, услуг), имущественных прав на территории Республики Беларусь иностранными организациями, не осуществляющими деятельность в Республике Беларусь через постоянное представительство и не состоящими в связи с этим на учете в налоговых органах Республики Беларусь (далее - иностранные организации, не состоящие на учете в налоговых органах Республики Беларусь), обязанность по исчислению и перечислению в бюджет налога возлагается на состоящих на учете в налоговых органах Республики Беларусь организации и индивидуальных предпринимателей, приобретающих данные товары (работы, услуги), имущественные права. Такие организации и индивидуальные предприниматели имеют права и несут обязанности, установленные ст. 21 и 22 Общей части Налогового кодекса Республики Беларусь (далее - НК РБ).</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Согласно подп. 1.2 ст.33 Общей части НК РБ местом реализации работ, услуг, имущественных прав признается территория Республики Беларусь, если работы, услуги связаны с движимым имуществом, находящимся на территории Республики Беларусь.</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Учитывая изложенное, местом реализации услуги по изготовлению печатной продукции на основании оригинал-макета издания украинским резидентом не признается территория Республики Беларусь, соответственно, редакция не выступает плательщиком НДС вместо украинского резидента.</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Пример</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Редакция белорусского журнала разместила рекламное объявление по заказу резидента Кипра.</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 подп. 1.4.3 ст. 33 Общей части НК РБ местом реализации работ, услуг, имущественных прав на объекты интеллектуальной собственности признается территория Республики Беларусь, если покупатель (приобретатель) работ, услуг, имущественных прав на объекты интеллектуальной собственности осуществляет деятельность на территории Республики Беларусь и (или) местом его нахождения (местом жительства) является Республика Беларусь. Настоящее положение применяется в отношении оказания аудиторских, консультационных, маркетинговых, юридических, бухгалтерских, инновационных (включая научно-исследовательские и опытно-конструкторские работы), инжиниринговых (включая предпроектные, проектные услуги, проектно-конструкторские разработки), рекламных услуг, услуг по обработке информации и информационному обеспечению и иных аналогичных работ, услуг.</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Поскольку в соответствии со ст.2 Закона объект налогообложения возникает при реализации товаров (работ, услуг), имущественных прав на территории Республики Беларусь, то по рекламным услугам, оказанным нерезиденту, НДС не исчисляется.</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Вместе с тем, оборот по реализации таких услуг должен быть отражен в налоговой декларации по НДС по строке 8а: при методе определения выручки "по отгрузке" оборот по реализации рекламных услуг отражается редакцией в строке 8а налоговой декларации в том налоговом периоде, на который приходится момент их оказания. При определении выручки "по оплате" оборот по реализации по строке 8а отражается в налоговом периоде оплаты оказанных услуг, но не позднее 60-ти дней с момента их оказания. При непоступлении оплаты в течение этого периода, оборот по реализации услуг отражается в строке 8а в том налоговом периоде, на который приходится 60-й день со дня, следующего за днем оказания услуг.</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Кроме того, согласно п.3 ст.15 Закона в случае одновременного использования приобретенных (ввезенных) товаров (работ, услуг), имущественных прав в производстве и (или) реализации товаров (работ, услуг), имущественных прав, операции по реализации которых освобождены от налогообложения, и товаров (работ, услуг), имущественных прав, операции по реализации которых подлежат налогообложению, отнесение сумм налога, отраженных в книге покупок, являющейся регистром налогового учета, за исключением сумм налога, уплаченных (предъявленных) при приобретении (ввозе) основных средств и нематериальных активов, на затраты плательщика по производству и реализации товаров (работ, услуг), имущественных прав осуществляется нарастающим итогом с начала года исходя из доли оборота от операций по реализации товаров (работ, услуг), имущественных прав, освобожденных от налогообложения, в общем объеме оборота от реализации товаров (работ, услуг), имущественных прав.</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Положения настоящего пункта применяются также в отношении оборотов по реализации товаров (работ, услуг), имущественных прав, местом реализации которых не признается территория Республики Беларусь.</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Одновременно п. 13 ст. 16 Закона установлено, что при реализации плательщиком товаров (работ, услуг), имущественных прав, налоговые вычеты по которым производятся в различном порядке, распределение общей суммы налоговых вычетов плательщика по товарам (работам, услугам), имущественным правам между оборотами по реализации производится двумя методами (методом удельного веса или методом раздельного учета), если иное не установлено Законом.</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Применяемый метод распределения налоговых вычетов утверждается учетной политикой. При отсутствии в учетной политике указания о применяемом методе распределения налоговых вычетов все налоговые вычеты распределяются методом удельного веса.</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Таким образом, если организацией в соответствии с записью в учетной политике не велся раздельный учет налоговых вычетов по товарам (работам, услугам), приходящихся к обороту по реализации рекламных услуг, налоговые вычеты по товарам (работам, услугам) нарастающим итогом подлежат распределению по удельному весу с целью отнесения на затраты их части, приходящейся на указанный оборот.</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Следует отметить, что налоговые вычеты по основным средствам и нематериальным активам не распределяются по удельному весу в целях отнесения их части, приходящейся на оборот за пределами Республики Беларусь, на стоимость основных средств и нематериальных активов, а подлежат вычету.</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Вместе с тем, редакция вправе произвести исчисление НДС по обороту по оказанию услуг нерезиденту по ставке 18% и отразить указанный оборот по строке 2 налоговой декларации (п.4 ст.11 Закона). На основании п.13 ст.16 Закона в таком случае налоговые вычеты, приходящиеся на указанный оборот, не относятся на затраты, а вычитаются в общеустановленном порядке.</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Пример</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Организация занимается изданием газет и реализацией их на территории Республики Беларусь и Российской Федерации. Российский резидент оказывает услугу по размещению информационных сообщений об изданиях в объединенном каталоге для подписчиков Российской Федерации. По данной услуге российским резидентом предъявлен НДС.</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со ст. 33 Общей части НК РБ местом реализации аудиторских, консультационных, маркетинговых, юридических, бухгалтерских, инновационных (включая научно-исследовательские и опытно-конструкторские работы), инжиниринговых (включая предпроектные, проектные услуги, проектно-конструкторские разработки), рекламных услуг, услуг по обработке информации и информационному обеспечению и иных аналогичных работ, услуг признается территория Республики Беларусь, если покупатель (приобретатель) объектов осуществляет деятельность на территории Республики Беларусь и (или) местом его нахождения (местом жительства) является Республика Беларусь.</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Издание каталога для подписчиков преследует цель обеспечения подписчиков информацией о периодическом издании и реквизитах подписки на издание, т.е. является услугой, аналогично рекламной услуге. Учитывая изложенное, местом реализации данной услуги российским резидентом признается территория Республики Беларусь и покупатель услуги должен исполнить обязанности плательщика налога в соответствии со ст. 1-2 Закона, если нерезидент не состоит на учете в налоговых органах Республики Беларусь. Данная сумма НДС принимается к вычету после ее уплаты по итогам налоговой декларации по НДС.</w:t>
      </w:r>
    </w:p>
    <w:p w:rsidR="00C56D06" w:rsidRDefault="00C56D06" w:rsidP="00CA7E20">
      <w:pPr>
        <w:autoSpaceDE w:val="0"/>
        <w:autoSpaceDN w:val="0"/>
        <w:adjustRightInd w:val="0"/>
        <w:spacing w:line="360" w:lineRule="auto"/>
        <w:ind w:firstLine="709"/>
        <w:jc w:val="both"/>
        <w:rPr>
          <w:color w:val="000000"/>
          <w:kern w:val="28"/>
          <w:sz w:val="28"/>
          <w:szCs w:val="28"/>
          <w:lang w:val="en-US"/>
        </w:rPr>
      </w:pPr>
      <w:r w:rsidRPr="00CA7E20">
        <w:rPr>
          <w:color w:val="000000"/>
          <w:kern w:val="28"/>
          <w:sz w:val="28"/>
          <w:szCs w:val="28"/>
        </w:rPr>
        <w:t>При этом сумма налога, предъявленная резидентом Российской Федерации из стоимости услуг, к вычету не принимается, а относится на стоимость услуг.</w:t>
      </w:r>
    </w:p>
    <w:p w:rsidR="00144F27" w:rsidRPr="00144F27" w:rsidRDefault="00144F27" w:rsidP="00CA7E20">
      <w:pPr>
        <w:autoSpaceDE w:val="0"/>
        <w:autoSpaceDN w:val="0"/>
        <w:adjustRightInd w:val="0"/>
        <w:spacing w:line="360" w:lineRule="auto"/>
        <w:ind w:firstLine="709"/>
        <w:jc w:val="both"/>
        <w:rPr>
          <w:color w:val="000000"/>
          <w:kern w:val="28"/>
          <w:sz w:val="28"/>
          <w:szCs w:val="28"/>
          <w:lang w:val="en-US"/>
        </w:rPr>
      </w:pPr>
    </w:p>
    <w:p w:rsidR="00C614E8" w:rsidRDefault="00C56D06" w:rsidP="00C614E8">
      <w:pPr>
        <w:autoSpaceDE w:val="0"/>
        <w:autoSpaceDN w:val="0"/>
        <w:adjustRightInd w:val="0"/>
        <w:spacing w:line="360" w:lineRule="auto"/>
        <w:ind w:firstLine="709"/>
        <w:jc w:val="both"/>
        <w:rPr>
          <w:b/>
          <w:bCs/>
          <w:color w:val="000000"/>
          <w:kern w:val="28"/>
          <w:sz w:val="28"/>
          <w:szCs w:val="28"/>
          <w:lang w:val="en-US"/>
        </w:rPr>
      </w:pPr>
      <w:r w:rsidRPr="00C614E8">
        <w:rPr>
          <w:b/>
          <w:bCs/>
          <w:color w:val="000000"/>
          <w:kern w:val="28"/>
          <w:sz w:val="28"/>
          <w:szCs w:val="28"/>
        </w:rPr>
        <w:t>Исчисление НДС организациями, приобретающи</w:t>
      </w:r>
      <w:r w:rsidR="00E82551">
        <w:rPr>
          <w:b/>
          <w:bCs/>
          <w:color w:val="000000"/>
          <w:kern w:val="28"/>
          <w:sz w:val="28"/>
          <w:szCs w:val="28"/>
          <w:lang w:val="en-US"/>
        </w:rPr>
        <w:t>ми</w:t>
      </w:r>
      <w:r w:rsidRPr="00C614E8">
        <w:rPr>
          <w:b/>
          <w:bCs/>
          <w:color w:val="000000"/>
          <w:kern w:val="28"/>
          <w:sz w:val="28"/>
          <w:szCs w:val="28"/>
        </w:rPr>
        <w:t xml:space="preserve"> периодические </w:t>
      </w:r>
    </w:p>
    <w:p w:rsidR="00C56D06" w:rsidRPr="00C614E8" w:rsidRDefault="00C56D06" w:rsidP="00C614E8">
      <w:pPr>
        <w:autoSpaceDE w:val="0"/>
        <w:autoSpaceDN w:val="0"/>
        <w:adjustRightInd w:val="0"/>
        <w:spacing w:line="360" w:lineRule="auto"/>
        <w:ind w:firstLine="709"/>
        <w:jc w:val="both"/>
        <w:rPr>
          <w:b/>
          <w:bCs/>
          <w:color w:val="000000"/>
          <w:kern w:val="28"/>
          <w:sz w:val="28"/>
          <w:szCs w:val="28"/>
        </w:rPr>
      </w:pPr>
      <w:r w:rsidRPr="00C614E8">
        <w:rPr>
          <w:b/>
          <w:bCs/>
          <w:color w:val="000000"/>
          <w:kern w:val="28"/>
          <w:sz w:val="28"/>
          <w:szCs w:val="28"/>
        </w:rPr>
        <w:t>издания по подписке</w:t>
      </w:r>
    </w:p>
    <w:p w:rsidR="00144F27" w:rsidRDefault="00144F27" w:rsidP="00CA7E20">
      <w:pPr>
        <w:autoSpaceDE w:val="0"/>
        <w:autoSpaceDN w:val="0"/>
        <w:adjustRightInd w:val="0"/>
        <w:spacing w:line="360" w:lineRule="auto"/>
        <w:ind w:firstLine="709"/>
        <w:jc w:val="both"/>
        <w:rPr>
          <w:color w:val="000000"/>
          <w:kern w:val="28"/>
          <w:sz w:val="28"/>
          <w:szCs w:val="28"/>
          <w:lang w:val="en-US"/>
        </w:rPr>
      </w:pP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Пример</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Предприятие предъявляет счет-фактуры при реализации периодических изданий по подписке и при реализации услуг по оформлению подписки.</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 Общегосударственным классификатором "Виды экономической деятельности", утвержденным постановлением Госстандарта от 28.12.2001 № 52, подписка на периодические издания относится к подклассу 51180 "Деятельность агентов, специализирующихся на торговле отдельными видами товаров, не включенными в другие группировки", т.е. периодические издания, приобретаемые по подписке, относятся к товарам.</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Согласно п. 2 Инструкции о порядке заполнения счета-фактуры по налогу на добавленную стоимость формы № СФ-1, утвержденной постановлением Министерства финансов от 05.06.2003 № 91 (в редакции постановления Министерства финансов от 21.11.2003 № 155), при реализации товаров, сопровождающейся отдельным выполнением работ (оказанием услуг), на эти работы (услуги) также выдается счет-фактура, если стоимость этих работ (услуг) не включается в стоимость товаров.</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Следовательно, по периодическим изданиям, распространяемым по подписке, а также по услугам организаций по оформлению подписки на периодические издания, если стоимость данных услуг включена в стоимость подписки, счета-фактуры не предъявляются.</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 п. 4 ст. 16 Закона налоговые вычеты, предусмотренные этой статьей, производятся на основании первичных учетных и расчетных документов установленного образца, полученных в установленном законодательством порядке продавцами и выставленных ими при приобретении плательщиком товаров (работ, услуг), имущественных прав, - либо на основании свидетельств о помещении товаров под заявленный таможенный режим и копий документов, подтверждающих факт уплаты налога по товарам, ввозимым на таможенную территорию Республики Беларусь.</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Перечень документов, которые приобретаются в установленном порядке, перечислен в постановлении Министерства по налогам и сборам от 05.04.2002 № 43.</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Одновременно п. 4 ст. 16 Закона определено, что вычет налога по операциям, не предусматривающим предъявление продавцами первичных учетных и расчетных документов установленного образца, полученных в установленном законодательством порядке, производится на основании иных первичных учетных и расчетных документов. Вычет налога по приобретенным по подписке периодическим изданиям производится на основании расчетных документов, в которых указана соответствующая сумма налога.</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Таким образом, вычет сумм налога по приобретенным по подписке периодическим изданиям осуществляется на основании расчетных документов (платежных поручений).</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Пример</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Организация отнесла стоимость подписки на счет 97 "Расходы будущих периодов". Вычет сумм "входного" НДС по подписке проводится по мере предъявления продавцом (выручка определяется покупателем по отгрузке).</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 п. 5 ст. 16 Закона вычетам подлежат:</w:t>
      </w:r>
    </w:p>
    <w:p w:rsidR="00C56D06" w:rsidRPr="00CA7E20" w:rsidRDefault="00C56D06" w:rsidP="00CA7E20">
      <w:pPr>
        <w:numPr>
          <w:ilvl w:val="1"/>
          <w:numId w:val="1"/>
        </w:numPr>
        <w:autoSpaceDE w:val="0"/>
        <w:autoSpaceDN w:val="0"/>
        <w:adjustRightInd w:val="0"/>
        <w:spacing w:line="360" w:lineRule="auto"/>
        <w:ind w:left="0" w:firstLine="709"/>
        <w:jc w:val="both"/>
        <w:rPr>
          <w:color w:val="000000"/>
          <w:kern w:val="28"/>
          <w:sz w:val="28"/>
          <w:szCs w:val="28"/>
        </w:rPr>
      </w:pPr>
      <w:r w:rsidRPr="00CA7E20">
        <w:rPr>
          <w:color w:val="000000"/>
          <w:kern w:val="28"/>
          <w:sz w:val="28"/>
          <w:szCs w:val="28"/>
        </w:rPr>
        <w:t>- предъявленные плательщику суммы налога при приобретении товаров (работ, услуг), имущественных прав вне зависимости от периода погашения задолженности за приобретаемые товары (работы, услуги), имущественные права либо уплаченные плательщиком при ввозе товаров на таможенную территорию Республики Беларусь после их отражения в бухгалтерском учете и книге покупок, являющейся регистром налогового учета, - для плательщиков, определяющих момент фактической реализации товаров (работ, услуг), имущественных прав в соответствии с п. 1 ст. 10 Закона;</w:t>
      </w:r>
    </w:p>
    <w:p w:rsidR="00C56D06" w:rsidRPr="00CA7E20" w:rsidRDefault="00C56D06" w:rsidP="00CA7E20">
      <w:pPr>
        <w:numPr>
          <w:ilvl w:val="1"/>
          <w:numId w:val="1"/>
        </w:numPr>
        <w:autoSpaceDE w:val="0"/>
        <w:autoSpaceDN w:val="0"/>
        <w:adjustRightInd w:val="0"/>
        <w:spacing w:line="360" w:lineRule="auto"/>
        <w:ind w:left="0" w:firstLine="709"/>
        <w:jc w:val="both"/>
        <w:rPr>
          <w:color w:val="000000"/>
          <w:kern w:val="28"/>
          <w:sz w:val="28"/>
          <w:szCs w:val="28"/>
        </w:rPr>
      </w:pPr>
      <w:r w:rsidRPr="00CA7E20">
        <w:rPr>
          <w:color w:val="000000"/>
          <w:kern w:val="28"/>
          <w:sz w:val="28"/>
          <w:szCs w:val="28"/>
        </w:rPr>
        <w:t>- фактически уплаченные плательщиком суммы налога при приобретении товаров (работ, услуг), имущественных прав либо при ввозе товаров на таможенную территорию Республики Беларусь после отражения их в бухгалтерском учете и книге покупок, являющейся регистром налогового учета, - для плательщиков, определяющих момент фактической реализации товаров (работ, услуг), имущественных прав в соответствии с п. 11 ст. 10 Закона.</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Вычет налога по приобретенным по подписке периодическим изданиям производится на основании расчетных документов, в которых указана соответствующая сумма налога.</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Учитывая изложенное, вычет сумм НДС по приобретенным по подписке периодическим изданиям у плательщиков, определяющих выручку "по отгрузке", возможен только после оплаты изданий, иначе у плательщика будет отсутствовать основание для вычета - документ об оплате. Поскольку при приобретении периодических изданий посредством подписки оплата производится единовременно, а получение изданий - каждый месяц, вычет суммы НДС осуществляется по мере получения изданий.</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Пример</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Организация (выручка определяется по отгрузке) производит как облагаемую НДС продукцию, так и продукцию, освобожденную от налога. Сумма "входного" НДС по подписке относить на затраты в периоде приобретения.</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 п. 2 ст. 16 Закона вычету подлежат суммы налога (с учетом положений ст. 15 Закона):</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 предъявленные продавцами плательщику при приобретении им на территории Республики Беларусь товаров (работ, услуг), имущественных прав, в том числе:</w:t>
      </w:r>
    </w:p>
    <w:p w:rsidR="00C56D06" w:rsidRPr="00CA7E20" w:rsidRDefault="00C56D06" w:rsidP="00CA7E20">
      <w:pPr>
        <w:numPr>
          <w:ilvl w:val="0"/>
          <w:numId w:val="1"/>
        </w:numPr>
        <w:autoSpaceDE w:val="0"/>
        <w:autoSpaceDN w:val="0"/>
        <w:adjustRightInd w:val="0"/>
        <w:spacing w:line="360" w:lineRule="auto"/>
        <w:ind w:left="0" w:firstLine="709"/>
        <w:jc w:val="both"/>
        <w:rPr>
          <w:color w:val="000000"/>
          <w:kern w:val="28"/>
          <w:sz w:val="28"/>
          <w:szCs w:val="28"/>
        </w:rPr>
      </w:pPr>
      <w:r w:rsidRPr="00CA7E20">
        <w:rPr>
          <w:color w:val="000000"/>
          <w:kern w:val="28"/>
          <w:sz w:val="28"/>
          <w:szCs w:val="28"/>
        </w:rPr>
        <w:t>-основных средств и нематериальных активов;</w:t>
      </w:r>
    </w:p>
    <w:p w:rsidR="00C56D06" w:rsidRPr="00CA7E20" w:rsidRDefault="00C56D06" w:rsidP="00CA7E20">
      <w:pPr>
        <w:numPr>
          <w:ilvl w:val="0"/>
          <w:numId w:val="1"/>
        </w:numPr>
        <w:autoSpaceDE w:val="0"/>
        <w:autoSpaceDN w:val="0"/>
        <w:adjustRightInd w:val="0"/>
        <w:spacing w:line="360" w:lineRule="auto"/>
        <w:ind w:left="0" w:firstLine="709"/>
        <w:jc w:val="both"/>
        <w:rPr>
          <w:color w:val="000000"/>
          <w:kern w:val="28"/>
          <w:sz w:val="28"/>
          <w:szCs w:val="28"/>
        </w:rPr>
      </w:pPr>
      <w:r w:rsidRPr="00CA7E20">
        <w:rPr>
          <w:color w:val="000000"/>
          <w:kern w:val="28"/>
          <w:sz w:val="28"/>
          <w:szCs w:val="28"/>
        </w:rPr>
        <w:t>-сырья, материалов, топлива, комплектующих, полуфабрикатов и электрической или иной энергии;</w:t>
      </w:r>
    </w:p>
    <w:p w:rsidR="00C56D06" w:rsidRPr="00CA7E20" w:rsidRDefault="00C56D06" w:rsidP="00CA7E20">
      <w:pPr>
        <w:numPr>
          <w:ilvl w:val="0"/>
          <w:numId w:val="1"/>
        </w:numPr>
        <w:autoSpaceDE w:val="0"/>
        <w:autoSpaceDN w:val="0"/>
        <w:adjustRightInd w:val="0"/>
        <w:spacing w:line="360" w:lineRule="auto"/>
        <w:ind w:left="0" w:firstLine="709"/>
        <w:jc w:val="both"/>
        <w:rPr>
          <w:color w:val="000000"/>
          <w:kern w:val="28"/>
          <w:sz w:val="28"/>
          <w:szCs w:val="28"/>
        </w:rPr>
      </w:pPr>
      <w:r w:rsidRPr="00CA7E20">
        <w:rPr>
          <w:color w:val="000000"/>
          <w:kern w:val="28"/>
          <w:sz w:val="28"/>
          <w:szCs w:val="28"/>
        </w:rPr>
        <w:t>- товаров (работ, услуг), имущественных прав, приобретаемых для их последующей реализации;</w:t>
      </w:r>
    </w:p>
    <w:p w:rsidR="00C56D06" w:rsidRPr="00CA7E20" w:rsidRDefault="00C56D06" w:rsidP="00CA7E20">
      <w:pPr>
        <w:numPr>
          <w:ilvl w:val="0"/>
          <w:numId w:val="1"/>
        </w:numPr>
        <w:autoSpaceDE w:val="0"/>
        <w:autoSpaceDN w:val="0"/>
        <w:adjustRightInd w:val="0"/>
        <w:spacing w:line="360" w:lineRule="auto"/>
        <w:ind w:left="0" w:firstLine="709"/>
        <w:jc w:val="both"/>
        <w:rPr>
          <w:color w:val="000000"/>
          <w:kern w:val="28"/>
          <w:sz w:val="28"/>
          <w:szCs w:val="28"/>
        </w:rPr>
      </w:pPr>
      <w:r w:rsidRPr="00CA7E20">
        <w:rPr>
          <w:color w:val="000000"/>
          <w:kern w:val="28"/>
          <w:sz w:val="28"/>
          <w:szCs w:val="28"/>
        </w:rPr>
        <w:t>Согласно п. 2 и 3 ст. 15 Закона суммы налога, отраженные в установленном порядке плательщиком в книге покупок, являющейся регистром налогового учета, за исключением сумм налога, уплаченных (предъявленных) при приобретении (ввозе) основных средств и нематериальных активов, относятся на затраты плательщика по производству и реализации товаров (работ, услуг), имущественных прав в случае использования приобретенных (ввезенных) товаров (работ, услуг), имущественных прав для производства и (или) реализации товаров (работ, услуг), имущественных прав, операции по реализации которых в соответствии с законодательством Республики Беларусь освобождены от налогообложения.</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случае одновременного использования приобретенных (ввезенных) товаров (работ, услуг), имущественных прав в производстве и (или) реализации товаров (работ, услуг), имущественных прав, операции по реализации которых освобождены от налогообложения, и товаров (работ, услуг), имущественных прав, операции по реализации которых подлежат налогообложению, отнесение сумм налога, отраженных в книге покупок, являющейся регистром налогового учета, за исключением сумм налога, уплаченных (предъявленных) при приобретении (ввозе) основных средств и нематериальных активов, на затраты плательщика по производству и реализации товаров (работ, услуг), имущественных прав осуществляется нарастающим итогом с начала года исходя из доли оборота от операций по реализации товаров (работ, услуг), имущественных прав, освобожденных от налогообложения, в общем объеме оборота от реализации товаров (работ, услуг), имущественных прав.</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Пунктом 5 ст. 16 Закона определено, что вычетам подлежат предъявленные плательщику суммы налога при приобретении товаров (работ, услуг), имущественных прав вне зависимости от периода погашения задолженности за приобретаемые товары (работы, услуги), имущественные права либо уплаченные плательщиком при ввозе товаров на таможенную территорию Республики Беларусь после их отражения в бухгалтерском учете и книге покупок, являющейся регистром налогового учета, - для плательщиков, определяющих момент фактической реализации по мере отгрузки объектов.</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Таким образом, Законом установлен порядок принятия к вычету сумм "входного" налога покупателями, применяющими метод определения выручки от реализации по мере отгрузки объектов, который не зависит от факта оплаты объектов. При этом данное положение Закона не содержит исключений в применении такого порядка плательщиками, имеющими обороты по реализации объектов, освобожденные от налогообложения. Кроме того, п.13 ст.16 Закона установлено, что распределение по удельному весу сумм налога производится в месяце наступления права на их вычет.</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Учитывая изложенное, поскольку у организации, определяющей выручку "по отгрузке", в книгу покупок вносятся суммы налога, предъявленные продавцом, независимо от факта осуществления расчета с продавцом, распределение налоговых вычетов по удельному весу производится в отношении предъявленных сумм налога. Вместе с тем, поскольку при приобретении периодических изданий посредством подписки получение изданий происходит каждый месяц, распределение сумм НДС между льготируемыми и освобождаемыми оборотами осуществляется по мере получения изданий.</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Пример</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Резидент Казахстана в соответствии с договором представляет резиденту Республики Беларусь еженедельно по электронной почте специализированное периодическое издание.</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Согласно Закону Республики Беларусь "О печати и других средствах массовой информации" периодическим печатным изданием считаются газета, журнал, брошюра, альманах, бюллетень, другое издание, имеющее постоянное название, порядковый номер и выходящее в свет не реже одного раза в год.</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 Общегосударственным классификатором "Виды экономической деятельности", утвержденным постановлением Госстандарта от 28.12.2001 № 52, реализация периодических печатных изданий относится к подклассу 51180 "Деятельность агентов, специализирующихся на торговле отдельными видами товаров, не включенными в другие группировки", т.е. является реализацией товара.</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Поскольку товар имеет вещественную форму, то в изложенной ситуации периодическое издание можно рассматривать в качестве товара, если оно получено в печатном виде (например, посредством почтового отправления) с уплатой соответствующих платежей таможенному органу (ст.104 Таможенного кодекса Республики Беларусь).</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Так как издание направляется в электронном виде, то указанный оборот является оборотом по оказанию нерезидентом информационных услуг, и исходя из ст.33 Общей части НК РБ местом его реализации является место деятельности потребителя услуг, т.е. территория Республики Беларусь.</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Учитывая изложенное, покупатель должен выступить плательщиком НДС по приобретению информационных услуг у иностранной организации, не состоящей на учете в налоговых органах Республики Беларусь (ст.1-2 Закона), и при оплате услуги исчислить НДС.</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Пример</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Организация розничной торговли, исчисляющая НДС по расчетной ставке, получила по договору комиссии для реализации периодические издания. По какой ставке облагается налогом на добавленную стоимость сумма полученного комиссионного вознаграждения и включается ли в расчет расчетной ставки стоимость реализованных периодических изданий?</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Согласно п. 5 ст.7 Закона налоговая база при осуществлении посреднической деятельности определяется как сумма, полученная в виде вознаграждений по договорам поручения, комиссии или консигнации либо иным аналогичным договорам.</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 п. 10 ст.12 Закона исчисление налога по товарам плательщики, осуществляющие розничную торговлю и деятельность по предоставлению услуг общественного питания, могут производить исходя из налоговой базы и доли суммы налога по товарам, имеющимся в отчетном налоговом периоде, в стоимости этих товаров (с учетом всех налогов, сборов и отчислений, взимаемых при реализации товаров), включая товары, освобожденные от налога.</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По товарам, включая импортные, реализуемым по свободным и регулируемым (фиксированным) розничным ценам плательщиками, осуществляющими розничную торговлю и деятельность по предоставлению услуг общественного питания, получающими доход в виде разницы в ценах, наценок, надбавок, налоговой базой является стоимость реализованных товаров (с учетом всех налогов, сборов и отчислений, взимаемых при реализации товаров).</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Плательщики обязаны обеспечить ведение учета реализуемых товаров по ценам реализации, а также отдельный учет налога, включаемого в цену товара. При отсутствии отдельного учета сумм налога, включенных в цену товара, а также отдельного учета оборотов по реализации товаров, облагаемых по различным ставкам, исчисление налога при реализации товаров по розничным ценам производится по ставке 18%.</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Таким образом, при реализации периодических изданий, полученных по договору комиссии, исчисление налога на добавленную стоимость производится от суммы вознаграждения по ставке 18%. Стоимость реализуемых по договору комиссии периодических изданий в расчет расчетной ставки не включается.</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Пример</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Работникам организации в качестве подарка к 23 февраля 2008 г. оформлена на их имя подписка на газету спортивной тематики.</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Согласно ст.2 Закона объектом налогообложения признаются обороты по безвозмездной передаче товаров (работ, услуг), имущественных прав, за исключением отдельных случаев безвозмездной передачи, перечисленных в подп.1.16 ст.3 Закона.</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 Общегосударственным классификатором "Виды экономической деятельности", утвержденным постановлением Госстандарта от 28.12.2001 № 52, реализация периодических печатных изданий относится к подклассу 51180 "Деятельность агентов, специализирующихся на торговле отдельными видами товаров, не включенными в другие группировки", т.е. является реализацией товара.</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Учитывая изложенное, безвозмездная передача работникам подписки на периодическое издание облагается НДС.</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Пример</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Организация приобретает по подписке на полгода периодическое издание. Имеется товарный счет-фактура с предъявлением НДС. Реквизиты какого документа следует отражать в графе 1 книги покупок?</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В соответствии с п.4 ст.16 Закона вычет налога по приобретенным по подписке периодическим изданиям производится на основании расчетных документов, в которых указана соответствующая сумма налога.</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Как указывалось выше, вычет сумм НДС по приобретенным по подписке периодическим изданиям у подписчиков, как определяющих выручку "по отгрузке", так и у определяющих выручку "по оплате", производится только после оплаты изданий и по мере их получения.</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Исходя из п.3 Инструкции о порядке заполнения книги покупок, налоговой декларации (расчета) по налогу на добавленную стоимость, налоговой декларации по налогу на добавленную стоимость по товарам, ввезенным из Российской Федерации, расчета возмещения из бюджета сумм налога на добавленную стоимость, утвержденной постановлением Министерства по налогам и сборам Республики Беларусь от 05.02.2007 № 22, в графе 1 книги покупок отражается дата приобретения: дата отражения в бухгалтерском учете объектов (для индивидуальных предпринимателей - в соответствующих книгах учета); в графе 2 - дата оплаты покупок: день списания средств за приобретаемые объекты с расчетного, валютного или иного счета, дата иного документа, подтверждающего погашение кредиторской задолженности, а при расчетах наличными деньгами - день выдачи денег из кассы.</w:t>
      </w:r>
    </w:p>
    <w:p w:rsidR="00C56D06" w:rsidRPr="00CA7E20" w:rsidRDefault="00C56D06" w:rsidP="00CA7E20">
      <w:pPr>
        <w:autoSpaceDE w:val="0"/>
        <w:autoSpaceDN w:val="0"/>
        <w:adjustRightInd w:val="0"/>
        <w:spacing w:line="360" w:lineRule="auto"/>
        <w:ind w:firstLine="709"/>
        <w:jc w:val="both"/>
        <w:rPr>
          <w:color w:val="000000"/>
          <w:kern w:val="28"/>
          <w:sz w:val="28"/>
          <w:szCs w:val="28"/>
        </w:rPr>
      </w:pPr>
      <w:r w:rsidRPr="00CA7E20">
        <w:rPr>
          <w:color w:val="000000"/>
          <w:kern w:val="28"/>
          <w:sz w:val="28"/>
          <w:szCs w:val="28"/>
        </w:rPr>
        <w:t>Таким образом, в графе 1 книги покупок плательщик, независимо от момента определения выручки, отражает дату получения периодического издания (допустимо, например, по журналу, полученному в январе, в графе 1 отразить 31 января - последний день месяца, поскольку дата фактического получения журнала может быть документально не подтверждена); в графе 2 книги покупок указываются реквизиты платежного документа, которым оплачена подписка, и аналогично - в течение всего срока подписки (в рассматриваемом примере - в течение полугода).</w:t>
      </w:r>
    </w:p>
    <w:p w:rsidR="00C56D06" w:rsidRPr="00CA7E20" w:rsidRDefault="00C56D06" w:rsidP="00CA7E20">
      <w:pPr>
        <w:autoSpaceDE w:val="0"/>
        <w:autoSpaceDN w:val="0"/>
        <w:adjustRightInd w:val="0"/>
        <w:spacing w:line="360" w:lineRule="auto"/>
        <w:ind w:firstLine="709"/>
        <w:jc w:val="center"/>
        <w:rPr>
          <w:b/>
          <w:bCs/>
          <w:color w:val="000000"/>
          <w:kern w:val="28"/>
          <w:sz w:val="28"/>
          <w:szCs w:val="28"/>
          <w:lang w:val="en-US"/>
        </w:rPr>
      </w:pPr>
      <w:r w:rsidRPr="00CA7E20">
        <w:rPr>
          <w:color w:val="000000"/>
          <w:sz w:val="28"/>
          <w:szCs w:val="28"/>
        </w:rPr>
        <w:br w:type="page"/>
      </w:r>
      <w:r w:rsidRPr="00CA7E20">
        <w:rPr>
          <w:b/>
          <w:bCs/>
          <w:color w:val="000000"/>
          <w:kern w:val="28"/>
          <w:sz w:val="28"/>
          <w:szCs w:val="28"/>
        </w:rPr>
        <w:t>СПИСОК ИСПОЛЬЗОВАННЫХ ИСТОЧНИКОВ</w:t>
      </w:r>
    </w:p>
    <w:p w:rsidR="00C56D06" w:rsidRPr="00CA7E20" w:rsidRDefault="00C56D06" w:rsidP="00CA7E20">
      <w:pPr>
        <w:spacing w:line="360" w:lineRule="auto"/>
        <w:ind w:firstLine="709"/>
        <w:jc w:val="both"/>
        <w:rPr>
          <w:color w:val="000000"/>
          <w:kern w:val="28"/>
          <w:sz w:val="28"/>
          <w:szCs w:val="28"/>
        </w:rPr>
      </w:pPr>
    </w:p>
    <w:p w:rsidR="00C56D06" w:rsidRPr="00CA7E20" w:rsidRDefault="00C56D06" w:rsidP="00CA7E20">
      <w:pPr>
        <w:numPr>
          <w:ilvl w:val="0"/>
          <w:numId w:val="2"/>
        </w:numPr>
        <w:tabs>
          <w:tab w:val="left" w:pos="539"/>
        </w:tabs>
        <w:overflowPunct w:val="0"/>
        <w:autoSpaceDE w:val="0"/>
        <w:autoSpaceDN w:val="0"/>
        <w:adjustRightInd w:val="0"/>
        <w:spacing w:line="360" w:lineRule="auto"/>
        <w:ind w:left="0" w:firstLine="0"/>
        <w:jc w:val="both"/>
        <w:rPr>
          <w:color w:val="000000"/>
          <w:kern w:val="28"/>
          <w:sz w:val="28"/>
          <w:szCs w:val="28"/>
        </w:rPr>
      </w:pPr>
      <w:r w:rsidRPr="00CA7E20">
        <w:rPr>
          <w:color w:val="000000"/>
          <w:kern w:val="28"/>
          <w:sz w:val="28"/>
          <w:szCs w:val="28"/>
        </w:rPr>
        <w:t xml:space="preserve">Конституция Республики Беларусь. Принята на республиканском референдуме 24 ноября 1996г. </w:t>
      </w:r>
    </w:p>
    <w:p w:rsidR="00C56D06" w:rsidRPr="00CA7E20" w:rsidRDefault="00C56D06" w:rsidP="00CA7E20">
      <w:pPr>
        <w:numPr>
          <w:ilvl w:val="0"/>
          <w:numId w:val="2"/>
        </w:numPr>
        <w:tabs>
          <w:tab w:val="left" w:pos="539"/>
        </w:tabs>
        <w:overflowPunct w:val="0"/>
        <w:autoSpaceDE w:val="0"/>
        <w:autoSpaceDN w:val="0"/>
        <w:adjustRightInd w:val="0"/>
        <w:spacing w:line="360" w:lineRule="auto"/>
        <w:ind w:left="0" w:firstLine="0"/>
        <w:jc w:val="both"/>
        <w:rPr>
          <w:color w:val="000000"/>
          <w:kern w:val="28"/>
          <w:sz w:val="28"/>
          <w:szCs w:val="28"/>
        </w:rPr>
      </w:pPr>
      <w:r w:rsidRPr="00CA7E20">
        <w:rPr>
          <w:color w:val="000000"/>
          <w:kern w:val="28"/>
          <w:sz w:val="28"/>
          <w:szCs w:val="28"/>
        </w:rPr>
        <w:t xml:space="preserve">Гражданский кодекс Республики Беларусь от 7 декабря 1998 г. № 218-З. Принят Палатой представителей 28 октября 1998 года. Одобрен Советом Республики 19 ноября 1998 года. (Ведомости Национального собрания Республики Беларусь, 1999 г., № 7-9, ст.101). </w:t>
      </w:r>
    </w:p>
    <w:p w:rsidR="00C56D06" w:rsidRPr="00CA7E20" w:rsidRDefault="00C56D06" w:rsidP="00CA7E20">
      <w:pPr>
        <w:numPr>
          <w:ilvl w:val="0"/>
          <w:numId w:val="2"/>
        </w:numPr>
        <w:tabs>
          <w:tab w:val="left" w:pos="539"/>
        </w:tabs>
        <w:overflowPunct w:val="0"/>
        <w:autoSpaceDE w:val="0"/>
        <w:autoSpaceDN w:val="0"/>
        <w:adjustRightInd w:val="0"/>
        <w:spacing w:line="360" w:lineRule="auto"/>
        <w:ind w:left="0" w:firstLine="0"/>
        <w:jc w:val="both"/>
        <w:rPr>
          <w:color w:val="000000"/>
          <w:kern w:val="28"/>
          <w:sz w:val="28"/>
          <w:szCs w:val="28"/>
        </w:rPr>
      </w:pPr>
      <w:r w:rsidRPr="00CA7E20">
        <w:rPr>
          <w:color w:val="000000"/>
          <w:kern w:val="28"/>
          <w:sz w:val="28"/>
          <w:szCs w:val="28"/>
        </w:rPr>
        <w:t xml:space="preserve">Закон Республики Беларусь «О бухгалтерском учете и отчетности» от 18 октября 1994 года № 3321-XII  (Ведомости Верховного Совета Республики Беларусь, 1994 г., № 34, ст.566). </w:t>
      </w:r>
    </w:p>
    <w:p w:rsidR="00C56D06" w:rsidRPr="00CA7E20" w:rsidRDefault="00C56D06" w:rsidP="00CA7E20">
      <w:pPr>
        <w:numPr>
          <w:ilvl w:val="0"/>
          <w:numId w:val="2"/>
        </w:numPr>
        <w:tabs>
          <w:tab w:val="left" w:pos="539"/>
        </w:tabs>
        <w:overflowPunct w:val="0"/>
        <w:autoSpaceDE w:val="0"/>
        <w:autoSpaceDN w:val="0"/>
        <w:adjustRightInd w:val="0"/>
        <w:spacing w:line="360" w:lineRule="auto"/>
        <w:ind w:left="0" w:firstLine="0"/>
        <w:jc w:val="both"/>
        <w:rPr>
          <w:color w:val="000000"/>
          <w:kern w:val="28"/>
          <w:sz w:val="28"/>
          <w:szCs w:val="28"/>
        </w:rPr>
      </w:pPr>
      <w:r w:rsidRPr="00CA7E20">
        <w:rPr>
          <w:color w:val="000000"/>
          <w:kern w:val="28"/>
          <w:sz w:val="28"/>
          <w:szCs w:val="28"/>
        </w:rPr>
        <w:t>Годунов В.Н. Комментарий к Гражданскому кодексу Республики Беларусь с приложением актов законодательства и судебной практики (постатейный): В 3 кн. Кн. 2. Разд. III. Общая часть обязательственного права. Раздел IV. Отдельные виды обязательств (главы 30-50) / Отв. ред. и руководитель авторского коллектива В.Ф. Чигир. – Мн.: Амалфея, 2005.</w:t>
      </w:r>
    </w:p>
    <w:p w:rsidR="00C56D06" w:rsidRPr="00CA7E20" w:rsidRDefault="00C56D06" w:rsidP="00CA7E20">
      <w:pPr>
        <w:numPr>
          <w:ilvl w:val="0"/>
          <w:numId w:val="2"/>
        </w:numPr>
        <w:tabs>
          <w:tab w:val="left" w:pos="539"/>
        </w:tabs>
        <w:overflowPunct w:val="0"/>
        <w:autoSpaceDE w:val="0"/>
        <w:autoSpaceDN w:val="0"/>
        <w:adjustRightInd w:val="0"/>
        <w:spacing w:line="360" w:lineRule="auto"/>
        <w:ind w:left="0" w:firstLine="0"/>
        <w:jc w:val="both"/>
        <w:rPr>
          <w:color w:val="000000"/>
          <w:kern w:val="28"/>
          <w:sz w:val="28"/>
          <w:szCs w:val="28"/>
        </w:rPr>
      </w:pPr>
      <w:r w:rsidRPr="00CA7E20">
        <w:rPr>
          <w:color w:val="000000"/>
          <w:kern w:val="28"/>
          <w:sz w:val="28"/>
          <w:szCs w:val="28"/>
        </w:rPr>
        <w:t>Гражданское право: Учебник Автор: Алексеев С.С., Гонгало Б.М. М.: 2006г. – 480с.</w:t>
      </w:r>
    </w:p>
    <w:p w:rsidR="00C56D06" w:rsidRPr="00CA7E20" w:rsidRDefault="00C56D06" w:rsidP="00CA7E20">
      <w:pPr>
        <w:numPr>
          <w:ilvl w:val="0"/>
          <w:numId w:val="2"/>
        </w:numPr>
        <w:tabs>
          <w:tab w:val="left" w:pos="539"/>
        </w:tabs>
        <w:overflowPunct w:val="0"/>
        <w:autoSpaceDE w:val="0"/>
        <w:autoSpaceDN w:val="0"/>
        <w:adjustRightInd w:val="0"/>
        <w:spacing w:line="360" w:lineRule="auto"/>
        <w:ind w:left="0" w:firstLine="0"/>
        <w:jc w:val="both"/>
        <w:rPr>
          <w:color w:val="000000"/>
          <w:kern w:val="28"/>
          <w:sz w:val="28"/>
          <w:szCs w:val="28"/>
        </w:rPr>
      </w:pPr>
      <w:r w:rsidRPr="00CA7E20">
        <w:rPr>
          <w:color w:val="000000"/>
          <w:kern w:val="28"/>
          <w:sz w:val="28"/>
          <w:szCs w:val="28"/>
        </w:rPr>
        <w:t xml:space="preserve">Гражданское право. </w:t>
      </w:r>
      <w:r w:rsidRPr="00CA7E20">
        <w:rPr>
          <w:rStyle w:val="a7"/>
          <w:b w:val="0"/>
          <w:bCs w:val="0"/>
          <w:color w:val="000000"/>
          <w:kern w:val="28"/>
          <w:sz w:val="28"/>
          <w:szCs w:val="28"/>
        </w:rPr>
        <w:t xml:space="preserve">Автор: </w:t>
      </w:r>
      <w:r w:rsidRPr="00D406C2">
        <w:rPr>
          <w:rStyle w:val="a7"/>
          <w:b w:val="0"/>
          <w:bCs w:val="0"/>
          <w:color w:val="000000"/>
          <w:kern w:val="28"/>
          <w:sz w:val="28"/>
          <w:szCs w:val="28"/>
        </w:rPr>
        <w:t>"Фоков А.П., Попонов Ю.Г., Черкашина И.Л. и др."</w:t>
      </w:r>
      <w:r w:rsidRPr="00CA7E20">
        <w:rPr>
          <w:color w:val="000000"/>
          <w:kern w:val="28"/>
          <w:sz w:val="28"/>
          <w:szCs w:val="28"/>
        </w:rPr>
        <w:t xml:space="preserve"> Издательство: </w:t>
      </w:r>
      <w:r w:rsidRPr="00D406C2">
        <w:rPr>
          <w:color w:val="000000"/>
          <w:kern w:val="28"/>
          <w:sz w:val="28"/>
          <w:szCs w:val="28"/>
        </w:rPr>
        <w:t>"КноРус"</w:t>
      </w:r>
      <w:r w:rsidRPr="00CA7E20">
        <w:rPr>
          <w:color w:val="000000"/>
          <w:kern w:val="28"/>
          <w:sz w:val="28"/>
          <w:szCs w:val="28"/>
        </w:rPr>
        <w:t>. 2008.</w:t>
      </w:r>
    </w:p>
    <w:p w:rsidR="00C56D06" w:rsidRPr="00CA7E20" w:rsidRDefault="00C56D06" w:rsidP="00CA7E20">
      <w:pPr>
        <w:numPr>
          <w:ilvl w:val="0"/>
          <w:numId w:val="2"/>
        </w:numPr>
        <w:tabs>
          <w:tab w:val="left" w:pos="539"/>
        </w:tabs>
        <w:overflowPunct w:val="0"/>
        <w:autoSpaceDE w:val="0"/>
        <w:autoSpaceDN w:val="0"/>
        <w:adjustRightInd w:val="0"/>
        <w:spacing w:line="360" w:lineRule="auto"/>
        <w:ind w:left="0" w:firstLine="0"/>
        <w:jc w:val="both"/>
        <w:rPr>
          <w:color w:val="000000"/>
          <w:kern w:val="28"/>
          <w:sz w:val="28"/>
          <w:szCs w:val="28"/>
        </w:rPr>
      </w:pPr>
      <w:r w:rsidRPr="00CA7E20">
        <w:rPr>
          <w:color w:val="000000"/>
          <w:kern w:val="28"/>
          <w:sz w:val="28"/>
          <w:szCs w:val="28"/>
        </w:rPr>
        <w:t>Колбасин Д.А. Гражданское право. Общая часть. - Мн.: ПолиБиг. По заказу общественного объединения «Молодежное научное общество». 1999. - 360с.</w:t>
      </w:r>
    </w:p>
    <w:p w:rsidR="00C56D06" w:rsidRPr="00CA7E20" w:rsidRDefault="00C56D06" w:rsidP="00CA7E20">
      <w:pPr>
        <w:numPr>
          <w:ilvl w:val="0"/>
          <w:numId w:val="2"/>
        </w:numPr>
        <w:tabs>
          <w:tab w:val="left" w:pos="539"/>
        </w:tabs>
        <w:overflowPunct w:val="0"/>
        <w:autoSpaceDE w:val="0"/>
        <w:autoSpaceDN w:val="0"/>
        <w:adjustRightInd w:val="0"/>
        <w:spacing w:line="360" w:lineRule="auto"/>
        <w:ind w:left="0" w:firstLine="0"/>
        <w:jc w:val="both"/>
        <w:rPr>
          <w:color w:val="000000"/>
          <w:kern w:val="28"/>
          <w:sz w:val="28"/>
          <w:szCs w:val="28"/>
        </w:rPr>
      </w:pPr>
      <w:r w:rsidRPr="00CA7E20">
        <w:rPr>
          <w:color w:val="000000"/>
          <w:kern w:val="28"/>
          <w:sz w:val="28"/>
          <w:szCs w:val="28"/>
        </w:rPr>
        <w:t>Хозяйственное право Республики Беларусь: Практическое пособие / С. С. Вабищевич. – Мн.: Молодежное науч. об-во, 2002. – 398с.</w:t>
      </w:r>
    </w:p>
    <w:p w:rsidR="00C56D06" w:rsidRPr="00CA7E20" w:rsidRDefault="00C56D06" w:rsidP="00CA7E20">
      <w:pPr>
        <w:numPr>
          <w:ilvl w:val="0"/>
          <w:numId w:val="2"/>
        </w:numPr>
        <w:tabs>
          <w:tab w:val="left" w:pos="539"/>
        </w:tabs>
        <w:overflowPunct w:val="0"/>
        <w:autoSpaceDE w:val="0"/>
        <w:autoSpaceDN w:val="0"/>
        <w:adjustRightInd w:val="0"/>
        <w:spacing w:line="360" w:lineRule="auto"/>
        <w:ind w:left="0" w:firstLine="0"/>
        <w:jc w:val="both"/>
        <w:rPr>
          <w:color w:val="000000"/>
          <w:kern w:val="28"/>
          <w:sz w:val="28"/>
          <w:szCs w:val="28"/>
        </w:rPr>
      </w:pPr>
      <w:r w:rsidRPr="00CA7E20">
        <w:rPr>
          <w:color w:val="000000"/>
          <w:kern w:val="28"/>
          <w:sz w:val="28"/>
          <w:szCs w:val="28"/>
        </w:rPr>
        <w:t>Хозяйственное право Республики Беларусь. Особенная часть. Практ. пособие – Мн.: «МНО», 2001. – 318с.</w:t>
      </w:r>
    </w:p>
    <w:p w:rsidR="008B27ED" w:rsidRPr="00CA7E20" w:rsidRDefault="008B27ED" w:rsidP="00CA7E20">
      <w:pPr>
        <w:spacing w:line="360" w:lineRule="auto"/>
        <w:ind w:firstLine="709"/>
        <w:jc w:val="both"/>
        <w:rPr>
          <w:color w:val="000000"/>
          <w:sz w:val="28"/>
          <w:szCs w:val="28"/>
        </w:rPr>
      </w:pPr>
      <w:bookmarkStart w:id="0" w:name="_GoBack"/>
      <w:bookmarkEnd w:id="0"/>
    </w:p>
    <w:sectPr w:rsidR="008B27ED" w:rsidRPr="00CA7E20" w:rsidSect="00CA7E20">
      <w:headerReference w:type="default" r:id="rId7"/>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579EF" w:rsidRDefault="005579EF">
      <w:r>
        <w:separator/>
      </w:r>
    </w:p>
  </w:endnote>
  <w:endnote w:type="continuationSeparator" w:id="0">
    <w:p w:rsidR="005579EF" w:rsidRDefault="005579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579EF" w:rsidRDefault="005579EF">
      <w:r>
        <w:separator/>
      </w:r>
    </w:p>
  </w:footnote>
  <w:footnote w:type="continuationSeparator" w:id="0">
    <w:p w:rsidR="005579EF" w:rsidRDefault="005579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27ED" w:rsidRDefault="00D406C2" w:rsidP="00CC000B">
    <w:pPr>
      <w:pStyle w:val="a3"/>
      <w:framePr w:wrap="auto" w:vAnchor="text" w:hAnchor="margin" w:xAlign="right" w:y="1"/>
      <w:rPr>
        <w:rStyle w:val="a5"/>
      </w:rPr>
    </w:pPr>
    <w:r>
      <w:rPr>
        <w:rStyle w:val="a5"/>
        <w:noProof/>
      </w:rPr>
      <w:t>2</w:t>
    </w:r>
  </w:p>
  <w:p w:rsidR="008B27ED" w:rsidRDefault="008B27ED" w:rsidP="008B27ED">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413EF7"/>
    <w:multiLevelType w:val="singleLevel"/>
    <w:tmpl w:val="A11072E8"/>
    <w:lvl w:ilvl="0">
      <w:start w:val="1"/>
      <w:numFmt w:val="decimal"/>
      <w:lvlText w:val="%1."/>
      <w:legacy w:legacy="1" w:legacySpace="0" w:legacyIndent="283"/>
      <w:lvlJc w:val="left"/>
      <w:pPr>
        <w:ind w:left="283" w:hanging="283"/>
      </w:pPr>
      <w:rPr>
        <w:rFonts w:ascii="Times New Roman" w:eastAsia="Times New Roman" w:hAnsi="Times New Roman" w:cs="Times New Roman"/>
        <w:b w:val="0"/>
        <w:bCs w:val="0"/>
        <w:i w:val="0"/>
        <w:iCs w:val="0"/>
        <w:sz w:val="28"/>
        <w:szCs w:val="28"/>
      </w:rPr>
    </w:lvl>
  </w:abstractNum>
  <w:abstractNum w:abstractNumId="1">
    <w:nsid w:val="72754FC4"/>
    <w:multiLevelType w:val="multilevel"/>
    <w:tmpl w:val="526D5459"/>
    <w:lvl w:ilvl="0">
      <w:numFmt w:val="bullet"/>
      <w:lvlText w:val="·"/>
      <w:lvlJc w:val="left"/>
      <w:pPr>
        <w:tabs>
          <w:tab w:val="num" w:pos="825"/>
        </w:tabs>
        <w:ind w:left="825" w:hanging="150"/>
      </w:pPr>
      <w:rPr>
        <w:rFonts w:ascii="Tahoma" w:hAnsi="Tahoma"/>
        <w:b/>
        <w:color w:val="000080"/>
        <w:sz w:val="16"/>
      </w:rPr>
    </w:lvl>
    <w:lvl w:ilvl="1">
      <w:numFmt w:val="bullet"/>
      <w:lvlText w:val=" "/>
      <w:lvlJc w:val="left"/>
      <w:pPr>
        <w:tabs>
          <w:tab w:val="num" w:pos="825"/>
        </w:tabs>
        <w:ind w:left="825" w:hanging="825"/>
      </w:pPr>
      <w:rPr>
        <w:rFonts w:ascii="Tahoma" w:hAnsi="Tahoma"/>
        <w:b/>
        <w:sz w:val="16"/>
      </w:rPr>
    </w:lvl>
    <w:lvl w:ilvl="2">
      <w:numFmt w:val="bullet"/>
      <w:lvlText w:val=" "/>
      <w:lvlJc w:val="left"/>
      <w:pPr>
        <w:tabs>
          <w:tab w:val="num" w:pos="825"/>
        </w:tabs>
        <w:ind w:left="825" w:hanging="825"/>
      </w:pPr>
      <w:rPr>
        <w:rFonts w:ascii="Tahoma" w:hAnsi="Tahoma"/>
        <w:b/>
        <w:sz w:val="16"/>
      </w:rPr>
    </w:lvl>
    <w:lvl w:ilvl="3">
      <w:numFmt w:val="bullet"/>
      <w:lvlText w:val=" "/>
      <w:lvlJc w:val="left"/>
      <w:pPr>
        <w:tabs>
          <w:tab w:val="num" w:pos="825"/>
        </w:tabs>
        <w:ind w:left="825" w:hanging="825"/>
      </w:pPr>
      <w:rPr>
        <w:rFonts w:ascii="Tahoma" w:hAnsi="Tahoma"/>
        <w:b/>
        <w:sz w:val="16"/>
      </w:rPr>
    </w:lvl>
    <w:lvl w:ilvl="4">
      <w:numFmt w:val="bullet"/>
      <w:lvlText w:val=" "/>
      <w:lvlJc w:val="left"/>
      <w:pPr>
        <w:tabs>
          <w:tab w:val="num" w:pos="825"/>
        </w:tabs>
        <w:ind w:left="825" w:hanging="825"/>
      </w:pPr>
      <w:rPr>
        <w:rFonts w:ascii="Tahoma" w:hAnsi="Tahoma"/>
        <w:b/>
        <w:sz w:val="16"/>
      </w:rPr>
    </w:lvl>
    <w:lvl w:ilvl="5">
      <w:numFmt w:val="bullet"/>
      <w:lvlText w:val=" "/>
      <w:lvlJc w:val="left"/>
      <w:pPr>
        <w:tabs>
          <w:tab w:val="num" w:pos="825"/>
        </w:tabs>
        <w:ind w:left="825" w:hanging="825"/>
      </w:pPr>
      <w:rPr>
        <w:rFonts w:ascii="Tahoma" w:hAnsi="Tahoma"/>
        <w:b/>
        <w:sz w:val="16"/>
      </w:rPr>
    </w:lvl>
    <w:lvl w:ilvl="6">
      <w:numFmt w:val="bullet"/>
      <w:lvlText w:val=" "/>
      <w:lvlJc w:val="left"/>
      <w:pPr>
        <w:tabs>
          <w:tab w:val="num" w:pos="825"/>
        </w:tabs>
        <w:ind w:left="825" w:hanging="825"/>
      </w:pPr>
      <w:rPr>
        <w:rFonts w:ascii="Tahoma" w:hAnsi="Tahoma"/>
        <w:b/>
        <w:sz w:val="16"/>
      </w:rPr>
    </w:lvl>
    <w:lvl w:ilvl="7">
      <w:numFmt w:val="bullet"/>
      <w:lvlText w:val=" "/>
      <w:lvlJc w:val="left"/>
      <w:pPr>
        <w:tabs>
          <w:tab w:val="num" w:pos="825"/>
        </w:tabs>
        <w:ind w:left="825" w:hanging="825"/>
      </w:pPr>
      <w:rPr>
        <w:rFonts w:ascii="Tahoma" w:hAnsi="Tahoma"/>
        <w:b/>
        <w:sz w:val="16"/>
      </w:rPr>
    </w:lvl>
    <w:lvl w:ilvl="8">
      <w:numFmt w:val="bullet"/>
      <w:lvlText w:val=" "/>
      <w:lvlJc w:val="left"/>
      <w:pPr>
        <w:tabs>
          <w:tab w:val="num" w:pos="825"/>
        </w:tabs>
        <w:ind w:left="825" w:hanging="825"/>
      </w:pPr>
      <w:rPr>
        <w:rFonts w:ascii="Tahoma" w:hAnsi="Tahoma"/>
        <w:b/>
        <w:sz w:val="16"/>
      </w:rPr>
    </w:lvl>
  </w:abstractNum>
  <w:num w:numId="1">
    <w:abstractNumId w:val="1"/>
  </w:num>
  <w:num w:numId="2">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B27ED"/>
    <w:rsid w:val="00144F27"/>
    <w:rsid w:val="00173958"/>
    <w:rsid w:val="002F7A68"/>
    <w:rsid w:val="005579EF"/>
    <w:rsid w:val="00591FCA"/>
    <w:rsid w:val="00613B37"/>
    <w:rsid w:val="008B27ED"/>
    <w:rsid w:val="00C56D06"/>
    <w:rsid w:val="00C614E8"/>
    <w:rsid w:val="00CA75A8"/>
    <w:rsid w:val="00CA7E20"/>
    <w:rsid w:val="00CC000B"/>
    <w:rsid w:val="00D406C2"/>
    <w:rsid w:val="00DB3BB9"/>
    <w:rsid w:val="00E825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0C4813E-7ABC-4588-8967-BEF30A623E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56D06"/>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8B27ED"/>
    <w:pPr>
      <w:tabs>
        <w:tab w:val="center" w:pos="4677"/>
        <w:tab w:val="right" w:pos="9355"/>
      </w:tabs>
    </w:pPr>
  </w:style>
  <w:style w:type="character" w:customStyle="1" w:styleId="a4">
    <w:name w:val="Верхний колонтитул Знак"/>
    <w:link w:val="a3"/>
    <w:uiPriority w:val="99"/>
    <w:semiHidden/>
    <w:locked/>
    <w:rPr>
      <w:rFonts w:cs="Times New Roman"/>
      <w:sz w:val="24"/>
      <w:szCs w:val="24"/>
    </w:rPr>
  </w:style>
  <w:style w:type="character" w:styleId="a5">
    <w:name w:val="page number"/>
    <w:uiPriority w:val="99"/>
    <w:rsid w:val="008B27ED"/>
    <w:rPr>
      <w:rFonts w:cs="Times New Roman"/>
    </w:rPr>
  </w:style>
  <w:style w:type="character" w:styleId="a6">
    <w:name w:val="Hyperlink"/>
    <w:uiPriority w:val="99"/>
    <w:rsid w:val="00C56D06"/>
    <w:rPr>
      <w:rFonts w:cs="Times New Roman"/>
      <w:color w:val="0000FF"/>
      <w:u w:val="single"/>
    </w:rPr>
  </w:style>
  <w:style w:type="character" w:styleId="a7">
    <w:name w:val="Strong"/>
    <w:uiPriority w:val="99"/>
    <w:qFormat/>
    <w:rsid w:val="00C56D06"/>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5603</Words>
  <Characters>31943</Characters>
  <Application>Microsoft Office Word</Application>
  <DocSecurity>0</DocSecurity>
  <Lines>266</Lines>
  <Paragraphs>74</Paragraphs>
  <ScaleCrop>false</ScaleCrop>
  <HeadingPairs>
    <vt:vector size="2" baseType="variant">
      <vt:variant>
        <vt:lpstr>Название</vt:lpstr>
      </vt:variant>
      <vt:variant>
        <vt:i4>1</vt:i4>
      </vt:variant>
    </vt:vector>
  </HeadingPairs>
  <TitlesOfParts>
    <vt:vector size="1" baseType="lpstr">
      <vt:lpstr>ИСЧИСЛЕНИЕ НДС ПО ПЕРИОДИЧЕСКИМ ИЗДАНИЯМ</vt:lpstr>
    </vt:vector>
  </TitlesOfParts>
  <Company>Microsoft</Company>
  <LinksUpToDate>false</LinksUpToDate>
  <CharactersWithSpaces>37472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ИСЧИСЛЕНИЕ НДС ПО ПЕРИОДИЧЕСКИМ ИЗДАНИЯМ</dc:title>
  <dc:subject/>
  <dc:creator>Admin</dc:creator>
  <cp:keywords/>
  <dc:description/>
  <cp:lastModifiedBy>admin</cp:lastModifiedBy>
  <cp:revision>2</cp:revision>
  <dcterms:created xsi:type="dcterms:W3CDTF">2014-03-12T14:44:00Z</dcterms:created>
  <dcterms:modified xsi:type="dcterms:W3CDTF">2014-03-12T14:44:00Z</dcterms:modified>
</cp:coreProperties>
</file>