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19" w:rsidRDefault="00702D19">
      <w:pPr>
        <w:ind w:firstLine="540"/>
        <w:jc w:val="both"/>
        <w:rPr>
          <w:i/>
          <w:iCs/>
          <w:sz w:val="28"/>
          <w:szCs w:val="28"/>
        </w:rPr>
      </w:pPr>
    </w:p>
    <w:p w:rsidR="00702D19" w:rsidRDefault="00702D19">
      <w:pPr>
        <w:ind w:firstLine="540"/>
        <w:jc w:val="both"/>
        <w:rPr>
          <w:i/>
          <w:iCs/>
          <w:sz w:val="28"/>
          <w:szCs w:val="28"/>
        </w:rPr>
      </w:pPr>
    </w:p>
    <w:p w:rsidR="00702D19" w:rsidRDefault="00702D19">
      <w:pPr>
        <w:ind w:firstLine="540"/>
        <w:jc w:val="both"/>
        <w:rPr>
          <w:i/>
          <w:iCs/>
          <w:sz w:val="28"/>
          <w:szCs w:val="28"/>
        </w:rPr>
      </w:pPr>
    </w:p>
    <w:p w:rsidR="00702D19" w:rsidRDefault="00702D19">
      <w:pPr>
        <w:ind w:firstLine="540"/>
        <w:jc w:val="both"/>
        <w:rPr>
          <w:i/>
          <w:iCs/>
          <w:sz w:val="28"/>
          <w:szCs w:val="28"/>
        </w:rPr>
      </w:pPr>
    </w:p>
    <w:p w:rsidR="00702D19" w:rsidRDefault="00702D19">
      <w:pPr>
        <w:ind w:firstLine="540"/>
        <w:jc w:val="both"/>
        <w:rPr>
          <w:i/>
          <w:iCs/>
          <w:sz w:val="28"/>
          <w:szCs w:val="28"/>
        </w:rPr>
      </w:pPr>
    </w:p>
    <w:p w:rsidR="00702D19" w:rsidRDefault="00702D19">
      <w:pPr>
        <w:ind w:firstLine="540"/>
        <w:jc w:val="both"/>
        <w:rPr>
          <w:i/>
          <w:iCs/>
          <w:sz w:val="28"/>
          <w:szCs w:val="28"/>
        </w:rPr>
      </w:pPr>
    </w:p>
    <w:p w:rsidR="00702D19" w:rsidRDefault="00702D19">
      <w:pPr>
        <w:ind w:firstLine="540"/>
        <w:jc w:val="both"/>
        <w:rPr>
          <w:i/>
          <w:iCs/>
          <w:sz w:val="28"/>
          <w:szCs w:val="28"/>
        </w:rPr>
      </w:pPr>
    </w:p>
    <w:p w:rsidR="00702D19" w:rsidRDefault="00702D19">
      <w:pPr>
        <w:ind w:firstLine="540"/>
        <w:jc w:val="both"/>
        <w:rPr>
          <w:i/>
          <w:iCs/>
          <w:sz w:val="28"/>
          <w:szCs w:val="28"/>
        </w:rPr>
      </w:pPr>
    </w:p>
    <w:p w:rsidR="00702D19" w:rsidRDefault="00702D19">
      <w:pPr>
        <w:ind w:firstLine="540"/>
        <w:jc w:val="both"/>
        <w:rPr>
          <w:i/>
          <w:iCs/>
          <w:sz w:val="28"/>
          <w:szCs w:val="28"/>
        </w:rPr>
      </w:pPr>
    </w:p>
    <w:p w:rsidR="00702D19" w:rsidRDefault="00702D19">
      <w:pPr>
        <w:ind w:firstLine="540"/>
        <w:jc w:val="both"/>
        <w:rPr>
          <w:i/>
          <w:iCs/>
          <w:sz w:val="28"/>
          <w:szCs w:val="28"/>
        </w:rPr>
      </w:pPr>
    </w:p>
    <w:p w:rsidR="00702D19" w:rsidRDefault="00702D19">
      <w:pPr>
        <w:ind w:firstLine="540"/>
        <w:jc w:val="both"/>
        <w:rPr>
          <w:i/>
          <w:iCs/>
          <w:sz w:val="28"/>
          <w:szCs w:val="28"/>
        </w:rPr>
      </w:pPr>
    </w:p>
    <w:p w:rsidR="00702D19" w:rsidRDefault="00702D19">
      <w:pPr>
        <w:ind w:firstLine="540"/>
        <w:jc w:val="both"/>
        <w:rPr>
          <w:i/>
          <w:iCs/>
          <w:sz w:val="28"/>
          <w:szCs w:val="28"/>
        </w:rPr>
      </w:pPr>
    </w:p>
    <w:p w:rsidR="00702D19" w:rsidRDefault="00702D19">
      <w:pPr>
        <w:ind w:firstLine="540"/>
        <w:jc w:val="both"/>
        <w:rPr>
          <w:i/>
          <w:iCs/>
          <w:sz w:val="28"/>
          <w:szCs w:val="28"/>
        </w:rPr>
      </w:pPr>
    </w:p>
    <w:p w:rsidR="00702D19" w:rsidRDefault="00702D19">
      <w:pPr>
        <w:ind w:firstLine="540"/>
        <w:jc w:val="both"/>
        <w:rPr>
          <w:i/>
          <w:iCs/>
          <w:sz w:val="28"/>
          <w:szCs w:val="28"/>
        </w:rPr>
      </w:pPr>
    </w:p>
    <w:p w:rsidR="00702D19" w:rsidRDefault="00702D19">
      <w:pPr>
        <w:ind w:firstLine="540"/>
        <w:jc w:val="both"/>
        <w:rPr>
          <w:i/>
          <w:iCs/>
          <w:sz w:val="28"/>
          <w:szCs w:val="28"/>
        </w:rPr>
      </w:pPr>
    </w:p>
    <w:p w:rsidR="00702D19" w:rsidRDefault="00702D19">
      <w:pPr>
        <w:ind w:firstLine="5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Реферат на тему:</w:t>
      </w:r>
    </w:p>
    <w:p w:rsidR="00702D19" w:rsidRDefault="00702D19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Исследование растворимости и ионного обмена как инструмент изучения равновесий в водном растворе.</w:t>
      </w:r>
    </w:p>
    <w:p w:rsidR="00702D19" w:rsidRDefault="00702D19">
      <w:pPr>
        <w:ind w:firstLine="540"/>
        <w:jc w:val="both"/>
        <w:rPr>
          <w:b/>
          <w:bCs/>
          <w:color w:val="FF0000"/>
          <w:sz w:val="48"/>
          <w:szCs w:val="48"/>
        </w:rPr>
      </w:pPr>
    </w:p>
    <w:p w:rsidR="00702D19" w:rsidRDefault="00702D19">
      <w:pPr>
        <w:ind w:firstLine="540"/>
        <w:jc w:val="both"/>
        <w:rPr>
          <w:b/>
          <w:bCs/>
          <w:color w:val="FF0000"/>
          <w:sz w:val="48"/>
          <w:szCs w:val="48"/>
        </w:rPr>
      </w:pPr>
    </w:p>
    <w:p w:rsidR="00702D19" w:rsidRDefault="00702D19">
      <w:pPr>
        <w:ind w:firstLine="540"/>
        <w:jc w:val="both"/>
        <w:rPr>
          <w:b/>
          <w:bCs/>
          <w:color w:val="FF0000"/>
          <w:sz w:val="48"/>
          <w:szCs w:val="48"/>
        </w:rPr>
      </w:pPr>
    </w:p>
    <w:p w:rsidR="00702D19" w:rsidRDefault="00702D19">
      <w:pPr>
        <w:ind w:firstLine="540"/>
        <w:jc w:val="both"/>
        <w:rPr>
          <w:b/>
          <w:bCs/>
          <w:color w:val="FF0000"/>
          <w:sz w:val="48"/>
          <w:szCs w:val="48"/>
        </w:rPr>
      </w:pPr>
    </w:p>
    <w:p w:rsidR="00702D19" w:rsidRDefault="00702D1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 студентка 5го курса </w:t>
      </w:r>
    </w:p>
    <w:p w:rsidR="00702D19" w:rsidRDefault="00702D1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Кекало Екатерина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Минск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Содержание: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Растворимость………………………………………………………..…..3</w:t>
      </w:r>
    </w:p>
    <w:p w:rsidR="00702D19" w:rsidRDefault="00702D1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ЭКСПЕРИМЕНТАЛЬНЫЕ МЕТОДЫ………………………...3</w:t>
      </w:r>
    </w:p>
    <w:p w:rsidR="00702D19" w:rsidRDefault="00702D1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ПРЯМОЙ МЕТОД РАСТВОРИМОСТИ………………………5</w:t>
      </w:r>
    </w:p>
    <w:p w:rsidR="00702D19" w:rsidRDefault="00702D1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 КОНКУРИРУЮЩЕЙ РАСТВОРИМОСТИ………..5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ИОННЫЙ  ОБМЕН……………………………………………………...7</w:t>
      </w:r>
    </w:p>
    <w:p w:rsidR="00702D19" w:rsidRDefault="00702D1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КАТИОННЫЙ ОБМЕН……………………………………...…..7</w:t>
      </w:r>
    </w:p>
    <w:p w:rsidR="00702D19" w:rsidRDefault="00702D1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mallCaps/>
          <w:color w:val="000000"/>
          <w:sz w:val="28"/>
          <w:szCs w:val="28"/>
        </w:rPr>
        <w:t>анионный обмен</w:t>
      </w:r>
      <w:r>
        <w:rPr>
          <w:b/>
          <w:bCs/>
          <w:sz w:val="28"/>
          <w:szCs w:val="28"/>
        </w:rPr>
        <w:t>…………………………………………………9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rPr>
          <w:b/>
          <w:bCs/>
          <w:smallCaps/>
          <w:color w:val="000000"/>
          <w:sz w:val="28"/>
          <w:szCs w:val="28"/>
        </w:rPr>
      </w:pPr>
      <w:r>
        <w:rPr>
          <w:b/>
          <w:bCs/>
          <w:smallCaps/>
          <w:color w:val="000000"/>
          <w:sz w:val="28"/>
          <w:szCs w:val="28"/>
        </w:rPr>
        <w:t>Список литературы…………………………………………………...11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48"/>
          <w:szCs w:val="4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02D19" w:rsidRDefault="00702D19">
      <w:pPr>
        <w:pageBreakBefore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РАСТВОРИМОСТЬ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Измерение растворимости труднорастворимых твердых ве</w:t>
      </w:r>
      <w:r>
        <w:rPr>
          <w:color w:val="000000"/>
          <w:sz w:val="28"/>
          <w:szCs w:val="28"/>
        </w:rPr>
        <w:softHyphen/>
        <w:t>ществ в водных растворах комплексообразугощего агента — один из самых старых методов изучения равновесия в раство</w:t>
      </w:r>
      <w:r>
        <w:rPr>
          <w:color w:val="000000"/>
          <w:sz w:val="28"/>
          <w:szCs w:val="28"/>
        </w:rPr>
        <w:softHyphen/>
        <w:t>ре. В конце прошлого столетия этим способом были исследо</w:t>
      </w:r>
      <w:r>
        <w:rPr>
          <w:color w:val="000000"/>
          <w:sz w:val="28"/>
          <w:szCs w:val="28"/>
        </w:rPr>
        <w:softHyphen/>
        <w:t>ваны молекулярные комплексы пикриновой кислоты, а несколько лет позднее прямой метод и метод конкури</w:t>
      </w:r>
      <w:r>
        <w:rPr>
          <w:color w:val="000000"/>
          <w:sz w:val="28"/>
          <w:szCs w:val="28"/>
        </w:rPr>
        <w:softHyphen/>
        <w:t>рующей растворимости  были использованы для оп</w:t>
      </w:r>
      <w:r>
        <w:rPr>
          <w:color w:val="000000"/>
          <w:sz w:val="28"/>
          <w:szCs w:val="28"/>
        </w:rPr>
        <w:softHyphen/>
        <w:t>ределения констант устойчивости комплексов ионов металлов. Этот метод был также применен для изучения равновесия в смешанных водно-органических растворителях и в системах, насыщенных по отношению к труднорастворимым жидкостям или газам.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Большинство данных по растворимости трудно интерпрети</w:t>
      </w:r>
      <w:r>
        <w:rPr>
          <w:color w:val="000000"/>
          <w:sz w:val="28"/>
          <w:szCs w:val="28"/>
        </w:rPr>
        <w:softHyphen/>
        <w:t>ровать, так как часто происходят значительные изменения со</w:t>
      </w:r>
      <w:r>
        <w:rPr>
          <w:color w:val="000000"/>
          <w:sz w:val="28"/>
          <w:szCs w:val="28"/>
        </w:rPr>
        <w:softHyphen/>
        <w:t>става водной фазы и, следовательно, стехиометрического произ</w:t>
      </w:r>
      <w:r>
        <w:rPr>
          <w:color w:val="000000"/>
          <w:sz w:val="28"/>
          <w:szCs w:val="28"/>
        </w:rPr>
        <w:softHyphen/>
        <w:t>ведения растворимости</w:t>
      </w:r>
    </w:p>
    <w:p w:rsidR="00702D19" w:rsidRDefault="004846A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43.5pt">
            <v:imagedata r:id="rId7" o:title=""/>
          </v:shape>
        </w:pic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труднорастворимого комплекса ВА</w:t>
      </w:r>
      <w:r>
        <w:rPr>
          <w:color w:val="000000"/>
          <w:sz w:val="28"/>
          <w:szCs w:val="28"/>
          <w:vertAlign w:val="subscript"/>
        </w:rPr>
        <w:t>с</w:t>
      </w:r>
      <w:r>
        <w:rPr>
          <w:color w:val="000000"/>
          <w:sz w:val="28"/>
          <w:szCs w:val="28"/>
        </w:rPr>
        <w:t xml:space="preserve">; здесь </w:t>
      </w:r>
      <w:r>
        <w:rPr>
          <w:color w:val="000000"/>
          <w:sz w:val="28"/>
          <w:szCs w:val="28"/>
          <w:vertAlign w:val="superscript"/>
          <w:lang w:val="en-US"/>
        </w:rPr>
        <w:t>T</w:t>
      </w:r>
      <w:r>
        <w:rPr>
          <w:color w:val="000000"/>
          <w:sz w:val="28"/>
          <w:szCs w:val="28"/>
        </w:rPr>
        <w:t xml:space="preserve"> </w:t>
      </w:r>
      <w:r w:rsidR="004846A4">
        <w:rPr>
          <w:color w:val="000000"/>
          <w:sz w:val="28"/>
          <w:szCs w:val="28"/>
          <w:lang w:val="en-US"/>
        </w:rPr>
        <w:pict>
          <v:shape id="_x0000_i1026" type="#_x0000_t75" style="width:27pt;height:22.5pt">
            <v:imagedata r:id="rId8" o:title=""/>
          </v:shape>
        </w:pict>
      </w:r>
      <w:r>
        <w:rPr>
          <w:color w:val="000000"/>
          <w:sz w:val="28"/>
          <w:szCs w:val="28"/>
        </w:rPr>
        <w:t xml:space="preserve"> — термодинами</w:t>
      </w:r>
      <w:r>
        <w:rPr>
          <w:color w:val="000000"/>
          <w:sz w:val="28"/>
          <w:szCs w:val="28"/>
        </w:rPr>
        <w:softHyphen/>
        <w:t>ческое произведение растворимости. Однако так же, как и в ра</w:t>
      </w:r>
      <w:r>
        <w:rPr>
          <w:color w:val="000000"/>
          <w:sz w:val="28"/>
          <w:szCs w:val="28"/>
        </w:rPr>
        <w:softHyphen/>
        <w:t>ботах с гомогенными системами, для изучения рас</w:t>
      </w:r>
      <w:r>
        <w:rPr>
          <w:color w:val="000000"/>
          <w:sz w:val="28"/>
          <w:szCs w:val="28"/>
        </w:rPr>
        <w:softHyphen/>
        <w:t>творимости можно использовать постоянную ионную среду; по методикам Эдмондса и Бирнбаумя, Кинга, Ледена и сотрудников был проведен ряд измерений растворимо</w:t>
      </w:r>
      <w:r>
        <w:rPr>
          <w:color w:val="000000"/>
          <w:sz w:val="28"/>
          <w:szCs w:val="28"/>
        </w:rPr>
        <w:softHyphen/>
        <w:t>сти с помощью растворов, в которых контролировались коэф</w:t>
      </w:r>
      <w:r>
        <w:rPr>
          <w:color w:val="000000"/>
          <w:sz w:val="28"/>
          <w:szCs w:val="28"/>
        </w:rPr>
        <w:softHyphen/>
        <w:t>фициенты активности. Например, Нильссон нашел, что про</w:t>
      </w:r>
      <w:r>
        <w:rPr>
          <w:color w:val="000000"/>
          <w:sz w:val="28"/>
          <w:szCs w:val="28"/>
        </w:rPr>
        <w:softHyphen/>
        <w:t>изведение растворимости иодида таллия было одинаково в 4 М растворе перхлората натрия и 4 М растворе иодида на</w:t>
      </w:r>
      <w:r>
        <w:rPr>
          <w:color w:val="000000"/>
          <w:sz w:val="28"/>
          <w:szCs w:val="28"/>
        </w:rPr>
        <w:softHyphen/>
        <w:t xml:space="preserve">трия. Однако значения </w:t>
      </w:r>
      <w:r w:rsidR="004846A4">
        <w:rPr>
          <w:color w:val="000000"/>
          <w:sz w:val="28"/>
          <w:szCs w:val="28"/>
        </w:rPr>
        <w:pict>
          <v:shape id="_x0000_i1027" type="#_x0000_t75" style="width:27pt;height:22.5pt">
            <v:imagedata r:id="rId8" o:title=""/>
          </v:shape>
        </w:pict>
      </w:r>
      <w:r>
        <w:rPr>
          <w:color w:val="000000"/>
          <w:sz w:val="28"/>
          <w:szCs w:val="28"/>
        </w:rPr>
        <w:t>для хлорида, бромида и тиоцианата таллия увеличивались с концентрацией свободного лиганда в области 0,5 М≤а≤4,0 М в 4 М ионной среде, указывая на то, что коэффициенты активности зависят от состава среды при этих условиях.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02D19" w:rsidRDefault="00702D19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ЭКСПЕРИМЕНТАЛЬНЫЕ МЕТОДЫ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left="2520"/>
        <w:jc w:val="both"/>
        <w:rPr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для определения растворимости в широких пределах экспериментальных условий были рассмотрены Циммерманом. При изучении равновесия в водном растворе изменение растворимости в зависимости от начального состава водной фазы измеряется при постоянной температуре. </w:t>
      </w:r>
    </w:p>
    <w:p w:rsidR="00702D19" w:rsidRDefault="004846A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164.25pt;height:300pt">
            <v:imagedata r:id="rId9" o:title=""/>
          </v:shape>
        </w:pict>
      </w:r>
    </w:p>
    <w:p w:rsidR="00702D19" w:rsidRDefault="00702D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Рис. 1.  Сатуратор Бренстеда — Дэписа.</w:t>
      </w:r>
    </w:p>
    <w:p w:rsidR="00702D19" w:rsidRDefault="00702D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 – винтовой зажим, 2 – емкость,  содержащая   растворитель, 3 - колонка с тонкоразмельченным насыщающим</w:t>
      </w:r>
      <w:r>
        <w:rPr>
          <w:sz w:val="28"/>
          <w:szCs w:val="28"/>
        </w:rPr>
        <w:t xml:space="preserve"> твердым веществом</w:t>
      </w:r>
      <w:r>
        <w:rPr>
          <w:color w:val="000000"/>
          <w:sz w:val="28"/>
          <w:szCs w:val="28"/>
        </w:rPr>
        <w:t>; 4— пористая стеклянная прокладка;</w:t>
      </w:r>
      <w:r>
        <w:rPr>
          <w:sz w:val="28"/>
          <w:szCs w:val="28"/>
        </w:rPr>
        <w:t xml:space="preserve"> 5 - емкость</w:t>
      </w:r>
      <w:r>
        <w:rPr>
          <w:color w:val="000000"/>
          <w:sz w:val="28"/>
          <w:szCs w:val="28"/>
        </w:rPr>
        <w:t>, содержащая насыщенный раствор.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Равновесие между твердой фазой и раствором может быть достигнуто или встряхиванием в закрытом сосуде, или пропус</w:t>
      </w:r>
      <w:r>
        <w:rPr>
          <w:color w:val="000000"/>
          <w:sz w:val="28"/>
          <w:szCs w:val="28"/>
        </w:rPr>
        <w:softHyphen/>
        <w:t>канием водной фазы через сатуратор, наполненный твер</w:t>
      </w:r>
      <w:r>
        <w:rPr>
          <w:color w:val="000000"/>
          <w:sz w:val="28"/>
          <w:szCs w:val="28"/>
        </w:rPr>
        <w:softHyphen/>
        <w:t>дым веществом; тип сатуратора, примененный Дэвисом и со</w:t>
      </w:r>
      <w:r>
        <w:rPr>
          <w:color w:val="000000"/>
          <w:sz w:val="28"/>
          <w:szCs w:val="28"/>
        </w:rPr>
        <w:softHyphen/>
        <w:t>трудниками, показан на рис. 1. Равновесие следует устанавливать в термостате. Так как часто равновесие достигается мед</w:t>
      </w:r>
      <w:r>
        <w:rPr>
          <w:color w:val="000000"/>
          <w:sz w:val="28"/>
          <w:szCs w:val="28"/>
        </w:rPr>
        <w:softHyphen/>
        <w:t>ленно, следует проверять, получается ли одинаковое значение растворимости при ненасыщенной или пересыщенной началь</w:t>
      </w:r>
      <w:r>
        <w:rPr>
          <w:color w:val="000000"/>
          <w:sz w:val="28"/>
          <w:szCs w:val="28"/>
        </w:rPr>
        <w:softHyphen/>
        <w:t>ной водной фазе, а также через различные промежутки вре</w:t>
      </w:r>
      <w:r>
        <w:rPr>
          <w:color w:val="000000"/>
          <w:sz w:val="28"/>
          <w:szCs w:val="28"/>
        </w:rPr>
        <w:softHyphen/>
        <w:t>мени. Равновесие в инертных системах [например, аммиакаты кобальта(Ш)] достигается быстрее с помощью катализатора. Иногда необходимо покрывать внутреннюю поверхность сосудов и пробок парафиновым воском или силиконом для того, чтобы избежать потерь растворенного вещества вследствие сорбции на стекле.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Твердая фаза может быть отделена от насыщенного рас</w:t>
      </w:r>
      <w:r>
        <w:rPr>
          <w:color w:val="000000"/>
          <w:sz w:val="28"/>
          <w:szCs w:val="28"/>
        </w:rPr>
        <w:softHyphen/>
        <w:t>твора фильтрованием или центрифугированием, которые следует проводить при температуре равновесия. Особенно удобно помещение с постоянной температурой, но, если его нет, филь</w:t>
      </w:r>
      <w:r>
        <w:rPr>
          <w:color w:val="000000"/>
          <w:sz w:val="28"/>
          <w:szCs w:val="28"/>
        </w:rPr>
        <w:softHyphen/>
        <w:t>трование можно легко выполнить в термостате. Например, установление равновесия и последующее разделение  можно про</w:t>
      </w:r>
      <w:r>
        <w:rPr>
          <w:color w:val="000000"/>
          <w:sz w:val="28"/>
          <w:szCs w:val="28"/>
        </w:rPr>
        <w:softHyphen/>
        <w:t>водить в термостатированном сатураторе Дэвиса со встроен</w:t>
      </w:r>
      <w:r>
        <w:rPr>
          <w:color w:val="000000"/>
          <w:sz w:val="28"/>
          <w:szCs w:val="28"/>
        </w:rPr>
        <w:softHyphen/>
        <w:t>ным фильтром. Если равновесие проводится в отдельных сосу</w:t>
      </w:r>
      <w:r>
        <w:rPr>
          <w:color w:val="000000"/>
          <w:sz w:val="28"/>
          <w:szCs w:val="28"/>
        </w:rPr>
        <w:softHyphen/>
        <w:t>дах, то фазы могут быть разделены с помощью пипетки с по</w:t>
      </w:r>
      <w:r>
        <w:rPr>
          <w:color w:val="000000"/>
          <w:sz w:val="28"/>
          <w:szCs w:val="28"/>
        </w:rPr>
        <w:softHyphen/>
        <w:t>ристым фильтром или термостатированного ультрафильтра Тиссена под давлением от 2 до 3 атм. Хотя и трудно проводить центрифугирование точно при температуре равнове</w:t>
      </w:r>
      <w:r>
        <w:rPr>
          <w:color w:val="000000"/>
          <w:sz w:val="28"/>
          <w:szCs w:val="28"/>
        </w:rPr>
        <w:softHyphen/>
        <w:t>сия, если нет термостатирующего помещения, все же кристал</w:t>
      </w:r>
      <w:r>
        <w:rPr>
          <w:color w:val="000000"/>
          <w:sz w:val="28"/>
          <w:szCs w:val="28"/>
        </w:rPr>
        <w:softHyphen/>
        <w:t>лизацию из горячих растворов можно предотвратить продува</w:t>
      </w:r>
      <w:r>
        <w:rPr>
          <w:color w:val="000000"/>
          <w:sz w:val="28"/>
          <w:szCs w:val="28"/>
        </w:rPr>
        <w:softHyphen/>
        <w:t>нием горячего воздуха через центрифугу и с помощью подо</w:t>
      </w:r>
      <w:r>
        <w:rPr>
          <w:color w:val="000000"/>
          <w:sz w:val="28"/>
          <w:szCs w:val="28"/>
        </w:rPr>
        <w:softHyphen/>
        <w:t>гретых пипеток для удаления водной фазы. Фазы могут иногда быть отделены более полно, если прокладка из ваты центрифу</w:t>
      </w:r>
      <w:r>
        <w:rPr>
          <w:color w:val="000000"/>
          <w:sz w:val="28"/>
          <w:szCs w:val="28"/>
        </w:rPr>
        <w:softHyphen/>
        <w:t>гируется на поверхности твердого вещества.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Выбор аналитического метода в основном зависит от вели</w:t>
      </w:r>
      <w:r>
        <w:rPr>
          <w:color w:val="000000"/>
          <w:sz w:val="28"/>
          <w:szCs w:val="28"/>
        </w:rPr>
        <w:softHyphen/>
        <w:t>чины измеряемой растворимости. Умеренно высокие значения обычно определяют гравиметрическим или объемным методом, а низкие значения  - полярографическим, колориметриче</w:t>
      </w:r>
      <w:r>
        <w:rPr>
          <w:color w:val="000000"/>
          <w:sz w:val="28"/>
          <w:szCs w:val="28"/>
        </w:rPr>
        <w:softHyphen/>
        <w:t>ским  или радиометрическим  методами. Незаряжен</w:t>
      </w:r>
      <w:r>
        <w:rPr>
          <w:color w:val="000000"/>
          <w:sz w:val="28"/>
          <w:szCs w:val="28"/>
        </w:rPr>
        <w:softHyphen/>
        <w:t>ные формы могут быть иногда отделены от насыщенного раствора экстракцией. Так, растворимость углеводородных лигандов в водных растворах серебра (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) была определена спектрофотометрически после экстракции лиганда гексаном, в то время как растворимость дитизона в буферных растворах изме</w:t>
      </w:r>
      <w:r>
        <w:rPr>
          <w:color w:val="000000"/>
          <w:sz w:val="28"/>
          <w:szCs w:val="28"/>
        </w:rPr>
        <w:softHyphen/>
        <w:t>рялась добавлением избытка радиоактивного серебра, экс</w:t>
      </w:r>
      <w:r>
        <w:rPr>
          <w:color w:val="000000"/>
          <w:sz w:val="28"/>
          <w:szCs w:val="28"/>
        </w:rPr>
        <w:softHyphen/>
        <w:t>трагированием дитизоната серебра хлороформом и определе</w:t>
      </w:r>
      <w:r>
        <w:rPr>
          <w:color w:val="000000"/>
          <w:sz w:val="28"/>
          <w:szCs w:val="28"/>
        </w:rPr>
        <w:softHyphen/>
        <w:t>нием активности в органической фазе.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Хотя измерение растворимости обычно включает анализ на</w:t>
      </w:r>
      <w:r>
        <w:rPr>
          <w:color w:val="000000"/>
          <w:sz w:val="28"/>
          <w:szCs w:val="28"/>
        </w:rPr>
        <w:softHyphen/>
        <w:t>сыщенного раствора, были выполнены также эксперименты по смещению ряда растворов известной концентрации с последую</w:t>
      </w:r>
      <w:r>
        <w:rPr>
          <w:color w:val="000000"/>
          <w:sz w:val="28"/>
          <w:szCs w:val="28"/>
        </w:rPr>
        <w:softHyphen/>
        <w:t>щим определением веса образовавшегося осадка.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  ПРЯМОЙ МЕТОД РАСТВОРИМОСТИ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простейшем случае измерения растворимости применяются для изучения равновесия, когда единственными формами, при</w:t>
      </w:r>
      <w:r>
        <w:rPr>
          <w:color w:val="000000"/>
          <w:sz w:val="28"/>
          <w:szCs w:val="28"/>
        </w:rPr>
        <w:softHyphen/>
        <w:t>сутствующими в обеих фазах (кроме растворителя и ионной среды), являются формы, образованные из центральной груп</w:t>
      </w:r>
      <w:r>
        <w:rPr>
          <w:color w:val="000000"/>
          <w:sz w:val="28"/>
          <w:szCs w:val="28"/>
        </w:rPr>
        <w:softHyphen/>
        <w:t>пы В и лиганда А.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Серьезным недостатком прямого метода растворимости является потеря одной степени свободы в насыщенных растворах, кроме того, метод ограничен системами комплексов, которые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являются моноядерными относительно группы, произведенной целиком от труднорастворимого вещества. 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Прямой метод растворимости особенно ценен для изучения кислот слишком нерастворимых (например, дитизон), что</w:t>
      </w:r>
      <w:r>
        <w:rPr>
          <w:color w:val="000000"/>
          <w:sz w:val="28"/>
          <w:szCs w:val="28"/>
        </w:rPr>
        <w:softHyphen/>
        <w:t>бы их можно было исследовать другими методами. Однако для более растворимых веществ он менее удобен и, возможно, ме</w:t>
      </w:r>
      <w:r>
        <w:rPr>
          <w:color w:val="000000"/>
          <w:sz w:val="28"/>
          <w:szCs w:val="28"/>
        </w:rPr>
        <w:softHyphen/>
        <w:t>нее точен, чем потенциометрня. Этот метод имеет, кроме того, еще один недостаток: он не дает сведений об образовании по</w:t>
      </w:r>
      <w:r>
        <w:rPr>
          <w:color w:val="000000"/>
          <w:sz w:val="28"/>
          <w:szCs w:val="28"/>
        </w:rPr>
        <w:softHyphen/>
        <w:t>лиядерных форм.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МЕТОД КОНКУРИРУЮЩЕЙ РАСТВОРИМОСТИ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неудобно измерять растворимость ВА</w:t>
      </w:r>
      <w:r>
        <w:rPr>
          <w:color w:val="000000"/>
          <w:sz w:val="28"/>
          <w:szCs w:val="28"/>
          <w:vertAlign w:val="subscript"/>
        </w:rPr>
        <w:t>с</w:t>
      </w:r>
      <w:r>
        <w:rPr>
          <w:color w:val="000000"/>
          <w:sz w:val="28"/>
          <w:szCs w:val="28"/>
        </w:rPr>
        <w:t>, метод раство</w:t>
      </w:r>
      <w:r>
        <w:rPr>
          <w:color w:val="000000"/>
          <w:sz w:val="28"/>
          <w:szCs w:val="28"/>
        </w:rPr>
        <w:softHyphen/>
        <w:t>римости тем не менее может быть использован для определе</w:t>
      </w:r>
      <w:r>
        <w:rPr>
          <w:color w:val="000000"/>
          <w:sz w:val="28"/>
          <w:szCs w:val="28"/>
        </w:rPr>
        <w:softHyphen/>
        <w:t>ния констант устойчивости комплексов ВА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>, при условии, что можно приготовить труднорастворимый твердый комплекс ВА</w:t>
      </w:r>
      <w:r>
        <w:rPr>
          <w:color w:val="000000"/>
          <w:sz w:val="28"/>
          <w:szCs w:val="28"/>
          <w:vertAlign w:val="subscript"/>
        </w:rPr>
        <w:t>С</w:t>
      </w:r>
      <w:r>
        <w:rPr>
          <w:color w:val="000000"/>
          <w:sz w:val="28"/>
          <w:szCs w:val="28"/>
        </w:rPr>
        <w:t xml:space="preserve"> или ВА</w:t>
      </w:r>
      <w:r>
        <w:rPr>
          <w:color w:val="000000"/>
          <w:sz w:val="28"/>
          <w:szCs w:val="28"/>
          <w:vertAlign w:val="subscript"/>
        </w:rPr>
        <w:t>С,</w:t>
      </w:r>
      <w:r>
        <w:rPr>
          <w:color w:val="000000"/>
          <w:sz w:val="28"/>
          <w:szCs w:val="28"/>
        </w:rPr>
        <w:t xml:space="preserve"> который содержит вспомогательную центральную группу В или лиганд А, и что можно определить независимо его произведение растворимости и константы устойчивости вспомогательного ряда комплексов ВА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Метод конкури</w:t>
      </w:r>
      <w:r>
        <w:rPr>
          <w:color w:val="000000"/>
          <w:sz w:val="28"/>
          <w:szCs w:val="28"/>
        </w:rPr>
        <w:softHyphen/>
        <w:t>рующей растворимости в отличие от прямого метода  в принципе может быть использован для изучения по</w:t>
      </w:r>
      <w:r>
        <w:rPr>
          <w:color w:val="000000"/>
          <w:sz w:val="28"/>
          <w:szCs w:val="28"/>
        </w:rPr>
        <w:softHyphen/>
        <w:t>лиядерных комплексов В</w:t>
      </w:r>
      <w:r>
        <w:rPr>
          <w:color w:val="000000"/>
          <w:sz w:val="28"/>
          <w:szCs w:val="28"/>
          <w:vertAlign w:val="subscript"/>
          <w:lang w:val="en-US"/>
        </w:rPr>
        <w:t>q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bscript"/>
          <w:lang w:val="en-US"/>
        </w:rPr>
        <w:t>p</w:t>
      </w:r>
      <w:r>
        <w:rPr>
          <w:color w:val="000000"/>
          <w:sz w:val="28"/>
          <w:szCs w:val="28"/>
        </w:rPr>
        <w:t xml:space="preserve"> при условии, что начальные кон</w:t>
      </w:r>
      <w:r>
        <w:rPr>
          <w:color w:val="000000"/>
          <w:sz w:val="28"/>
          <w:szCs w:val="28"/>
        </w:rPr>
        <w:softHyphen/>
        <w:t>центрации А и В могут меняться.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ИОННЫЙ  ОБМЕН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Катиониты являются полифункциональными соединениями, состоящими из высокомолекулярных анионов н простых катио</w:t>
      </w:r>
      <w:r>
        <w:rPr>
          <w:color w:val="000000"/>
          <w:sz w:val="28"/>
          <w:szCs w:val="28"/>
        </w:rPr>
        <w:softHyphen/>
        <w:t>нов; промышленные синтетические вещества обычно являются формальдегидными или полистирольными смолами, которые со</w:t>
      </w:r>
      <w:r>
        <w:rPr>
          <w:color w:val="000000"/>
          <w:sz w:val="28"/>
          <w:szCs w:val="28"/>
        </w:rPr>
        <w:softHyphen/>
        <w:t>держат фенольную, сульфо- или карбоксильную группы в кис</w:t>
      </w:r>
      <w:r>
        <w:rPr>
          <w:color w:val="000000"/>
          <w:sz w:val="28"/>
          <w:szCs w:val="28"/>
        </w:rPr>
        <w:softHyphen/>
        <w:t>лой форме или в виде соответствующей натриевой соли. Смолы не растворяются в воде и в большинстве органических раство</w:t>
      </w:r>
      <w:r>
        <w:rPr>
          <w:color w:val="000000"/>
          <w:sz w:val="28"/>
          <w:szCs w:val="28"/>
        </w:rPr>
        <w:softHyphen/>
        <w:t>рителей. Если их привести в равновесие с раствором, содержа</w:t>
      </w:r>
      <w:r>
        <w:rPr>
          <w:color w:val="000000"/>
          <w:sz w:val="28"/>
          <w:szCs w:val="28"/>
        </w:rPr>
        <w:softHyphen/>
        <w:t>щим ионы металла или другие катионы (например, ВА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vertAlign w:val="superscript"/>
          <w:lang w:val="en-US"/>
        </w:rPr>
        <w:t>z</w:t>
      </w:r>
      <w:r>
        <w:rPr>
          <w:color w:val="000000"/>
          <w:sz w:val="28"/>
          <w:szCs w:val="28"/>
          <w:vertAlign w:val="superscript"/>
        </w:rPr>
        <w:t>+</w:t>
      </w:r>
      <w:r>
        <w:rPr>
          <w:color w:val="000000"/>
          <w:sz w:val="28"/>
          <w:szCs w:val="28"/>
        </w:rPr>
        <w:t xml:space="preserve"> ), они могут участвовать в реакции обмена типа</w:t>
      </w:r>
    </w:p>
    <w:p w:rsidR="00702D19" w:rsidRDefault="004846A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237pt;height:62.25pt">
            <v:imagedata r:id="rId10" o:title=""/>
          </v:shape>
        </w:pic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подстрочная буква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 обозначает фазу смолы. Нерастворимые амины или четвертичные аммониевые соли могут подвергаться подобным реакциям обмена с анионами в растворе, например,</w:t>
      </w:r>
    </w:p>
    <w:p w:rsidR="00702D19" w:rsidRDefault="004846A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212.25pt;height:41.25pt">
            <v:imagedata r:id="rId11" o:title=""/>
          </v:shape>
        </w:pic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между анионным лигандом А и обменником в хлоридной форме. Большинство анионитов является несколько неустойчивыми смолами с высоким молекулярным весом, но на практике так</w:t>
      </w:r>
      <w:r>
        <w:rPr>
          <w:color w:val="000000"/>
          <w:sz w:val="28"/>
          <w:szCs w:val="28"/>
        </w:rPr>
        <w:softHyphen/>
        <w:t>же применяются жидкие амины с умеренно низким молекуляр</w:t>
      </w:r>
      <w:r>
        <w:rPr>
          <w:color w:val="000000"/>
          <w:sz w:val="28"/>
          <w:szCs w:val="28"/>
        </w:rPr>
        <w:softHyphen/>
        <w:t>ным носом.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уравнений очевидно, что изучение полного распределения центральной группы В или лиганда А между ионообменииком и водной фазой может дать ценные све</w:t>
      </w:r>
      <w:r>
        <w:rPr>
          <w:color w:val="000000"/>
          <w:sz w:val="28"/>
          <w:szCs w:val="28"/>
        </w:rPr>
        <w:softHyphen/>
        <w:t>дения о формах, присутствующих в растворе. Еще в 1922 г. было проведено первое, хотя и безуспешное исследование комп</w:t>
      </w:r>
      <w:r>
        <w:rPr>
          <w:color w:val="000000"/>
          <w:sz w:val="28"/>
          <w:szCs w:val="28"/>
        </w:rPr>
        <w:softHyphen/>
        <w:t>лексов металлов с помощью синтетического цеолита, но ионный обмен не применялся для изучения рав</w:t>
      </w:r>
      <w:r>
        <w:rPr>
          <w:color w:val="000000"/>
          <w:sz w:val="28"/>
          <w:szCs w:val="28"/>
        </w:rPr>
        <w:softHyphen/>
        <w:t>новесия в растворе до конца 1945 г., когда стали легко доступными синтетические смолы. Как катиониты, так и аниониты использовались для определения природы форм, присутствую</w:t>
      </w:r>
      <w:r>
        <w:rPr>
          <w:color w:val="000000"/>
          <w:sz w:val="28"/>
          <w:szCs w:val="28"/>
        </w:rPr>
        <w:softHyphen/>
        <w:t>щие в растворе, но обычно катиониты более пригодны для определения констант устойчивости.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КАТИОННЫЙ ОБМЕН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Коэффициент распределения катиона </w:t>
      </w:r>
      <w:r w:rsidR="004846A4">
        <w:rPr>
          <w:color w:val="000000"/>
          <w:sz w:val="28"/>
          <w:szCs w:val="28"/>
        </w:rPr>
        <w:pict>
          <v:shape id="_x0000_i1031" type="#_x0000_t75" style="width:141.75pt;height:25.5pt">
            <v:imagedata r:id="rId12" o:title=""/>
          </v:shape>
        </w:pict>
      </w:r>
      <w:r>
        <w:rPr>
          <w:color w:val="000000"/>
          <w:sz w:val="28"/>
          <w:szCs w:val="28"/>
        </w:rPr>
        <w:t xml:space="preserve"> где с+ - максимальное значение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для катионного комплекса) ме</w:t>
      </w:r>
      <w:r>
        <w:rPr>
          <w:color w:val="000000"/>
          <w:sz w:val="28"/>
          <w:szCs w:val="28"/>
        </w:rPr>
        <w:softHyphen/>
        <w:t>жду водной фазой и натриевой формой катионита можно выра</w:t>
      </w:r>
      <w:r>
        <w:rPr>
          <w:color w:val="000000"/>
          <w:sz w:val="28"/>
          <w:szCs w:val="28"/>
        </w:rPr>
        <w:softHyphen/>
        <w:t>зить через константу равновесия. Та</w:t>
      </w:r>
      <w:r>
        <w:rPr>
          <w:color w:val="000000"/>
          <w:sz w:val="28"/>
          <w:szCs w:val="28"/>
        </w:rPr>
        <w:softHyphen/>
        <w:t>ким образом, стехиометрнческая константа распределения ВА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vertAlign w:val="superscript"/>
          <w:lang w:val="en-US"/>
        </w:rPr>
        <w:t>z</w:t>
      </w:r>
      <w:r>
        <w:rPr>
          <w:color w:val="000000"/>
          <w:sz w:val="28"/>
          <w:szCs w:val="28"/>
          <w:vertAlign w:val="superscript"/>
        </w:rPr>
        <w:t>+</w:t>
      </w:r>
      <w:r>
        <w:rPr>
          <w:color w:val="000000"/>
          <w:sz w:val="28"/>
          <w:szCs w:val="28"/>
        </w:rPr>
        <w:t xml:space="preserve"> определяется формулами</w:t>
      </w:r>
    </w:p>
    <w:p w:rsidR="00702D19" w:rsidRDefault="004846A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152.25pt;height:99.75pt">
            <v:imagedata r:id="rId13" o:title=""/>
          </v:shape>
        </w:pict>
      </w:r>
      <w:r w:rsidR="00702D19">
        <w:rPr>
          <w:color w:val="000000"/>
          <w:sz w:val="28"/>
          <w:szCs w:val="28"/>
        </w:rPr>
        <w:t xml:space="preserve">и будет постоянной при условии, что постоянны значения </w:t>
      </w:r>
      <w:r>
        <w:rPr>
          <w:color w:val="000000"/>
          <w:sz w:val="28"/>
          <w:szCs w:val="28"/>
        </w:rPr>
        <w:pict>
          <v:shape id="_x0000_i1033" type="#_x0000_t75" style="width:32.25pt;height:20.25pt">
            <v:imagedata r:id="rId14" o:title=""/>
          </v:shape>
        </w:pict>
      </w:r>
      <w:r w:rsidR="00702D19">
        <w:rPr>
          <w:color w:val="000000"/>
          <w:sz w:val="28"/>
          <w:szCs w:val="28"/>
        </w:rPr>
        <w:t xml:space="preserve"> и отношение концентрации ионов натрия в двух фазах. Послед</w:t>
      </w:r>
      <w:r w:rsidR="00702D19">
        <w:rPr>
          <w:color w:val="000000"/>
          <w:sz w:val="28"/>
          <w:szCs w:val="28"/>
        </w:rPr>
        <w:softHyphen/>
        <w:t>нее условие выполняется, если водная фаза содержит постоян</w:t>
      </w:r>
      <w:r w:rsidR="00702D19">
        <w:rPr>
          <w:color w:val="000000"/>
          <w:sz w:val="28"/>
          <w:szCs w:val="28"/>
        </w:rPr>
        <w:softHyphen/>
        <w:t>ную высокую концентрацию ионов натрия и обмен невелик. По</w:t>
      </w:r>
      <w:r w:rsidR="00702D19">
        <w:rPr>
          <w:color w:val="000000"/>
          <w:sz w:val="28"/>
          <w:szCs w:val="28"/>
        </w:rPr>
        <w:softHyphen/>
        <w:t>добным образом, если вероятен гидролиз группы В в смоле или в растворе, то достаточно использовать смолу в водород</w:t>
      </w:r>
      <w:r w:rsidR="00702D19">
        <w:rPr>
          <w:color w:val="000000"/>
          <w:sz w:val="28"/>
          <w:szCs w:val="28"/>
        </w:rPr>
        <w:softHyphen/>
        <w:t>ной форме и сильную кислоту в качестве фонового электро</w:t>
      </w:r>
      <w:r w:rsidR="00702D19">
        <w:rPr>
          <w:color w:val="000000"/>
          <w:sz w:val="28"/>
          <w:szCs w:val="28"/>
        </w:rPr>
        <w:softHyphen/>
        <w:t>лита. Использование постоянной ионной среды так</w:t>
      </w:r>
      <w:r w:rsidR="00702D19">
        <w:rPr>
          <w:color w:val="000000"/>
          <w:sz w:val="28"/>
          <w:szCs w:val="28"/>
        </w:rPr>
        <w:softHyphen/>
        <w:t>же обеспечивает постоянство коэффициентов активности в вод</w:t>
      </w:r>
      <w:r w:rsidR="00702D19">
        <w:rPr>
          <w:color w:val="000000"/>
          <w:sz w:val="28"/>
          <w:szCs w:val="28"/>
        </w:rPr>
        <w:softHyphen/>
        <w:t>ной фазе.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Томпкинс и Мэйер нашли, что константа рав</w:t>
      </w:r>
      <w:r>
        <w:rPr>
          <w:color w:val="000000"/>
          <w:sz w:val="28"/>
          <w:szCs w:val="28"/>
        </w:rPr>
        <w:softHyphen/>
        <w:t>новесия обмена между ионами лантана и аммония на смоле Дауэкс 50 достигает постоянной величины при очень низких концентрациях ионов лантана. Работы Фронеуса  по ацетатным системам меди и никеля указывали на то, что при постоянной и очень малой загрузке смолы значения</w:t>
      </w:r>
      <w:r>
        <w:rPr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зависят от концентрации свободных ацетат-ионов в водной фазе. Это означает, что, несмотря на разные заряды, формы В</w:t>
      </w:r>
      <w:r>
        <w:rPr>
          <w:color w:val="000000"/>
          <w:sz w:val="28"/>
          <w:szCs w:val="28"/>
          <w:vertAlign w:val="superscript"/>
        </w:rPr>
        <w:t xml:space="preserve">2+ </w:t>
      </w:r>
      <w:r>
        <w:rPr>
          <w:color w:val="000000"/>
          <w:sz w:val="28"/>
          <w:szCs w:val="28"/>
        </w:rPr>
        <w:t>и ВА</w:t>
      </w:r>
      <w:r>
        <w:rPr>
          <w:color w:val="000000"/>
          <w:sz w:val="28"/>
          <w:szCs w:val="28"/>
          <w:vertAlign w:val="superscript"/>
        </w:rPr>
        <w:t>+</w:t>
      </w:r>
      <w:r>
        <w:rPr>
          <w:color w:val="000000"/>
          <w:sz w:val="28"/>
          <w:szCs w:val="28"/>
        </w:rPr>
        <w:t xml:space="preserve"> действуют одинаково на коэффициенты ак</w:t>
      </w:r>
      <w:r>
        <w:rPr>
          <w:color w:val="000000"/>
          <w:sz w:val="28"/>
          <w:szCs w:val="28"/>
        </w:rPr>
        <w:softHyphen/>
        <w:t>тивности в фазе смолы при условии, что они присутствуют толь</w:t>
      </w:r>
      <w:r>
        <w:rPr>
          <w:color w:val="000000"/>
          <w:sz w:val="28"/>
          <w:szCs w:val="28"/>
        </w:rPr>
        <w:softHyphen/>
        <w:t xml:space="preserve">ко в небольших концентрациях. Поэтому Фронеус рекомендует получать количественные сведения о комилексообразованиии полной фазе на основе измерений, которые относились бы к постоянным и очень небольшим загрузкам смолы. Поэтому ионообменный метод не пригоден для количественного изучения систем, в которых образуются полиядерные формы. Для того чтобы обеспечить независимость констант </w:t>
      </w:r>
      <w:r w:rsidR="004846A4">
        <w:rPr>
          <w:color w:val="000000"/>
          <w:sz w:val="28"/>
          <w:szCs w:val="28"/>
          <w:lang w:val="en-US"/>
        </w:rPr>
        <w:pict>
          <v:shape id="_x0000_i1034" type="#_x0000_t75" style="width:32.25pt;height:20.25pt">
            <v:imagedata r:id="rId14" o:title=""/>
          </v:shape>
        </w:pict>
      </w:r>
      <w:r>
        <w:rPr>
          <w:color w:val="000000"/>
          <w:sz w:val="28"/>
          <w:szCs w:val="28"/>
        </w:rPr>
        <w:t>от кон</w:t>
      </w:r>
      <w:r>
        <w:rPr>
          <w:color w:val="000000"/>
          <w:sz w:val="28"/>
          <w:szCs w:val="28"/>
        </w:rPr>
        <w:softHyphen/>
        <w:t>центрации водородных ионов раствора, следует использовать сильнокислую однофункцнональную смолу, такую, как сульфи</w:t>
      </w:r>
      <w:r>
        <w:rPr>
          <w:color w:val="000000"/>
          <w:sz w:val="28"/>
          <w:szCs w:val="28"/>
        </w:rPr>
        <w:softHyphen/>
        <w:t>рованный полистирол (например, Дауэкс 50, Цеокарб 225 или Амберлит 120). Дальнейшим недостатком слабокислых смол, содержащих фенольные группы, является их тенденция к вос</w:t>
      </w:r>
      <w:r>
        <w:rPr>
          <w:color w:val="000000"/>
          <w:sz w:val="28"/>
          <w:szCs w:val="28"/>
        </w:rPr>
        <w:softHyphen/>
        <w:t xml:space="preserve">становлению поглощенных форм (например, иона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vertAlign w:val="superscript"/>
        </w:rPr>
        <w:t>+</w:t>
      </w:r>
      <w:r>
        <w:rPr>
          <w:color w:val="000000"/>
          <w:sz w:val="28"/>
          <w:szCs w:val="28"/>
        </w:rPr>
        <w:t xml:space="preserve"> ). Если используются сильнокислые обменники при малой и по</w:t>
      </w:r>
      <w:r>
        <w:rPr>
          <w:color w:val="000000"/>
          <w:sz w:val="28"/>
          <w:szCs w:val="28"/>
        </w:rPr>
        <w:softHyphen/>
        <w:t>стоянной загрузке, то коэффициенты активности в фазе смолы и отсюда стехиометрический коэффициент распределения между смолой и постоянной ионной средой будут оступаться постоян</w:t>
      </w:r>
      <w:r>
        <w:rPr>
          <w:color w:val="000000"/>
          <w:sz w:val="28"/>
          <w:szCs w:val="28"/>
        </w:rPr>
        <w:softHyphen/>
        <w:t>ными.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Общее предположение, что только положительно заряжен</w:t>
      </w:r>
      <w:r>
        <w:rPr>
          <w:color w:val="000000"/>
          <w:sz w:val="28"/>
          <w:szCs w:val="28"/>
        </w:rPr>
        <w:softHyphen/>
        <w:t>ные формы сорбируются на катионите, было проверено на си</w:t>
      </w:r>
      <w:r>
        <w:rPr>
          <w:color w:val="000000"/>
          <w:sz w:val="28"/>
          <w:szCs w:val="28"/>
        </w:rPr>
        <w:softHyphen/>
        <w:t>стеме оксалата магния. Если оно справедливо в любом слу</w:t>
      </w:r>
      <w:r>
        <w:rPr>
          <w:color w:val="000000"/>
          <w:sz w:val="28"/>
          <w:szCs w:val="28"/>
        </w:rPr>
        <w:softHyphen/>
        <w:t>чае,- то распределение центральной группы между катионитом и раствором определяется выражением</w:t>
      </w:r>
    </w:p>
    <w:p w:rsidR="00702D19" w:rsidRDefault="004846A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282.75pt;height:93pt">
            <v:imagedata r:id="rId15" o:title=""/>
          </v:shape>
        </w:pic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условии, что коэффициенты активности в обоих фазах соот</w:t>
      </w:r>
      <w:r>
        <w:rPr>
          <w:color w:val="000000"/>
          <w:sz w:val="28"/>
          <w:szCs w:val="28"/>
        </w:rPr>
        <w:softHyphen/>
        <w:t xml:space="preserve">ветственно контролируются. Метод ограничивается системами комплексов катионных центральных групп с отрицательно заряженными лигандами. 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Катионный обмен не является ни относительно точным, ни относительно удобным методом для определения констант устойчивости большинства систем. Функцию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(а) невозмож</w:t>
      </w:r>
      <w:r>
        <w:rPr>
          <w:color w:val="000000"/>
          <w:sz w:val="28"/>
          <w:szCs w:val="28"/>
        </w:rPr>
        <w:softHyphen/>
        <w:t>но определить с такой же точностью, которую часто получают в потенциометрии, а интерпретация данных включает (с</w:t>
      </w:r>
      <w:r>
        <w:rPr>
          <w:color w:val="000000"/>
          <w:sz w:val="28"/>
          <w:szCs w:val="28"/>
          <w:vertAlign w:val="subscript"/>
        </w:rPr>
        <w:t>+</w:t>
      </w:r>
      <w:r>
        <w:rPr>
          <w:color w:val="000000"/>
          <w:sz w:val="28"/>
          <w:szCs w:val="28"/>
        </w:rPr>
        <w:t>+1) параметров в дополнение к искомым величинам β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Так как В не может меняться в большой области концентраций, то этот метод ограничивается моноядерными системами. Более того, возникают заметные изменения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 xml:space="preserve"> от а, если лигандом яв</w:t>
      </w:r>
      <w:r>
        <w:rPr>
          <w:color w:val="000000"/>
          <w:sz w:val="28"/>
          <w:szCs w:val="28"/>
        </w:rPr>
        <w:softHyphen/>
        <w:t>ляется анион. Однако метод пригоден для изучения систем, в которых В следует сохранять очень низким (например, вслед</w:t>
      </w:r>
      <w:r>
        <w:rPr>
          <w:color w:val="000000"/>
          <w:sz w:val="28"/>
          <w:szCs w:val="28"/>
        </w:rPr>
        <w:softHyphen/>
        <w:t>ствие образования полиядерных форм при макроконцентрациях или из-за большой радиоактивности или недостаточного коли</w:t>
      </w:r>
      <w:r>
        <w:rPr>
          <w:color w:val="000000"/>
          <w:sz w:val="28"/>
          <w:szCs w:val="28"/>
        </w:rPr>
        <w:softHyphen/>
        <w:t>чества группы В). Наиболее удобно, когда происходит распре</w:t>
      </w:r>
      <w:r>
        <w:rPr>
          <w:color w:val="000000"/>
          <w:sz w:val="28"/>
          <w:szCs w:val="28"/>
        </w:rPr>
        <w:softHyphen/>
        <w:t>деление только центральной группы, но для катионного обмена были получены обнадеживающие результаты, которые согла</w:t>
      </w:r>
      <w:r>
        <w:rPr>
          <w:color w:val="000000"/>
          <w:sz w:val="28"/>
          <w:szCs w:val="28"/>
        </w:rPr>
        <w:softHyphen/>
        <w:t>суются с данными других методов в системах с с</w:t>
      </w:r>
      <w:r>
        <w:rPr>
          <w:color w:val="000000"/>
          <w:sz w:val="28"/>
          <w:szCs w:val="28"/>
          <w:vertAlign w:val="subscript"/>
        </w:rPr>
        <w:t>+</w:t>
      </w:r>
      <w:r>
        <w:rPr>
          <w:color w:val="000000"/>
          <w:sz w:val="28"/>
          <w:szCs w:val="28"/>
        </w:rPr>
        <w:t>&gt;0.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02D19" w:rsidRDefault="00702D1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smallCaps/>
          <w:color w:val="000000"/>
          <w:sz w:val="28"/>
          <w:szCs w:val="28"/>
        </w:rPr>
      </w:pPr>
      <w:r>
        <w:rPr>
          <w:b/>
          <w:bCs/>
          <w:smallCaps/>
          <w:color w:val="000000"/>
          <w:sz w:val="28"/>
          <w:szCs w:val="28"/>
        </w:rPr>
        <w:t>анионный обмен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Анионный обмен, так же как и катионный, может быть при</w:t>
      </w:r>
      <w:r>
        <w:rPr>
          <w:color w:val="000000"/>
          <w:sz w:val="28"/>
          <w:szCs w:val="28"/>
        </w:rPr>
        <w:softHyphen/>
        <w:t>менен для изучения комплексообразования между положитель</w:t>
      </w:r>
      <w:r>
        <w:rPr>
          <w:color w:val="000000"/>
          <w:sz w:val="28"/>
          <w:szCs w:val="28"/>
        </w:rPr>
        <w:softHyphen/>
        <w:t>но заряженной центральной группой и отрицательно заряжен</w:t>
      </w:r>
      <w:r>
        <w:rPr>
          <w:color w:val="000000"/>
          <w:sz w:val="28"/>
          <w:szCs w:val="28"/>
        </w:rPr>
        <w:softHyphen/>
        <w:t>ным лигандом. Однако его использование осложнено тем, что в добавление к анионным комплексам на смоле также адсорби</w:t>
      </w:r>
      <w:r>
        <w:rPr>
          <w:color w:val="000000"/>
          <w:sz w:val="28"/>
          <w:szCs w:val="28"/>
        </w:rPr>
        <w:softHyphen/>
        <w:t>руются лиганд и анион фонового электролита. Поэтому состав обменника и, следовательно, коэффициенты активности в фазе смолы будут сильно меняться в зависимости от состава водной фазы, если в макроконцентрации присутствует более чем один тин аниона. В таких случаях коэффициент распределения яв</w:t>
      </w:r>
      <w:r>
        <w:rPr>
          <w:color w:val="000000"/>
          <w:sz w:val="28"/>
          <w:szCs w:val="28"/>
        </w:rPr>
        <w:softHyphen/>
        <w:t>ляется чрезвычайно сложной функцией от а. Поэтому для изу</w:t>
      </w:r>
      <w:r>
        <w:rPr>
          <w:color w:val="000000"/>
          <w:sz w:val="28"/>
          <w:szCs w:val="28"/>
        </w:rPr>
        <w:softHyphen/>
        <w:t>чения анионного обмена нельзя применять фоновый электро</w:t>
      </w:r>
      <w:r>
        <w:rPr>
          <w:color w:val="000000"/>
          <w:sz w:val="28"/>
          <w:szCs w:val="28"/>
        </w:rPr>
        <w:softHyphen/>
        <w:t>лит, если лиганд не присутствует в микроконцептрациях. Но часто оказывается, что для образования анионных комплексов необходимы высокие концентрации свободного лиганда. В бла</w:t>
      </w:r>
      <w:r>
        <w:rPr>
          <w:color w:val="000000"/>
          <w:sz w:val="28"/>
          <w:szCs w:val="28"/>
        </w:rPr>
        <w:softHyphen/>
        <w:t>гоприятных случаях коэффициенты активности в обменнике можно считать постоянными, если используются следовые кон</w:t>
      </w:r>
      <w:r>
        <w:rPr>
          <w:color w:val="000000"/>
          <w:sz w:val="28"/>
          <w:szCs w:val="28"/>
        </w:rPr>
        <w:softHyphen/>
        <w:t>центрации группы В и если обменник насыщен лигандом. Одна</w:t>
      </w:r>
      <w:r>
        <w:rPr>
          <w:color w:val="000000"/>
          <w:sz w:val="28"/>
          <w:szCs w:val="28"/>
        </w:rPr>
        <w:softHyphen/>
        <w:t>ко анионообменный метод имеет тот большой недостаток, что поскольку не может быть использована постоянная ионная сре</w:t>
      </w:r>
      <w:r>
        <w:rPr>
          <w:color w:val="000000"/>
          <w:sz w:val="28"/>
          <w:szCs w:val="28"/>
        </w:rPr>
        <w:softHyphen/>
        <w:t>да, то нельзя контролировать коэффициенты активности в вод</w:t>
      </w:r>
      <w:r>
        <w:rPr>
          <w:color w:val="000000"/>
          <w:sz w:val="28"/>
          <w:szCs w:val="28"/>
        </w:rPr>
        <w:softHyphen/>
        <w:t>ной фазе.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Фронеус был первый, кто попытался количественно об</w:t>
      </w:r>
      <w:r>
        <w:rPr>
          <w:color w:val="000000"/>
          <w:sz w:val="28"/>
          <w:szCs w:val="28"/>
        </w:rPr>
        <w:softHyphen/>
        <w:t>работать результаты анионного обмена для комплексов метал</w:t>
      </w:r>
      <w:r>
        <w:rPr>
          <w:color w:val="000000"/>
          <w:sz w:val="28"/>
          <w:szCs w:val="28"/>
        </w:rPr>
        <w:softHyphen/>
        <w:t>лов. Его метод был значительно расширен Маркусом и Корьеллом, Фоминым к его сотрудниками. Адсорбцию анионного комплекса ВА</w:t>
      </w:r>
      <w:r>
        <w:rPr>
          <w:color w:val="000000"/>
          <w:sz w:val="28"/>
          <w:szCs w:val="28"/>
          <w:vertAlign w:val="subscript"/>
        </w:rPr>
        <w:t>С</w:t>
      </w:r>
      <w:r>
        <w:rPr>
          <w:color w:val="000000"/>
          <w:sz w:val="28"/>
          <w:szCs w:val="28"/>
        </w:rPr>
        <w:t xml:space="preserve"> можно представить реакцией</w:t>
      </w:r>
    </w:p>
    <w:p w:rsidR="00702D19" w:rsidRDefault="004846A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mallCaps/>
          <w:color w:val="000000"/>
          <w:sz w:val="28"/>
          <w:szCs w:val="28"/>
        </w:rPr>
        <w:pict>
          <v:shape id="_x0000_i1036" type="#_x0000_t75" style="width:240.75pt;height:85.5pt">
            <v:imagedata r:id="rId16" o:title=""/>
          </v:shape>
        </w:pict>
      </w:r>
      <w:r w:rsidR="00702D19">
        <w:rPr>
          <w:color w:val="000000"/>
          <w:sz w:val="28"/>
          <w:szCs w:val="28"/>
        </w:rPr>
        <w:t xml:space="preserve"> для комплексов с центральной группой В </w:t>
      </w:r>
      <w:r w:rsidR="00702D19">
        <w:rPr>
          <w:color w:val="000000"/>
          <w:sz w:val="28"/>
          <w:szCs w:val="28"/>
          <w:vertAlign w:val="superscript"/>
          <w:lang w:val="en-US"/>
        </w:rPr>
        <w:t>z</w:t>
      </w:r>
      <w:r w:rsidR="00702D19">
        <w:rPr>
          <w:color w:val="000000"/>
          <w:sz w:val="28"/>
          <w:szCs w:val="28"/>
          <w:vertAlign w:val="superscript"/>
        </w:rPr>
        <w:t xml:space="preserve"> в+</w:t>
      </w:r>
      <w:r w:rsidR="00702D19">
        <w:rPr>
          <w:color w:val="000000"/>
          <w:sz w:val="28"/>
          <w:szCs w:val="28"/>
        </w:rPr>
        <w:t xml:space="preserve"> и лигандом А</w:t>
      </w:r>
      <w:r w:rsidR="00702D19">
        <w:rPr>
          <w:color w:val="000000"/>
          <w:sz w:val="28"/>
          <w:szCs w:val="28"/>
          <w:vertAlign w:val="superscript"/>
          <w:lang w:val="en-US"/>
        </w:rPr>
        <w:t>z</w:t>
      </w:r>
      <w:r w:rsidR="00702D19">
        <w:rPr>
          <w:color w:val="000000"/>
          <w:sz w:val="28"/>
          <w:szCs w:val="28"/>
          <w:vertAlign w:val="superscript"/>
        </w:rPr>
        <w:t xml:space="preserve"> А-</w:t>
      </w:r>
      <w:r w:rsidR="00702D19">
        <w:rPr>
          <w:color w:val="000000"/>
          <w:sz w:val="28"/>
          <w:szCs w:val="28"/>
        </w:rPr>
        <w:t>. Коэффициент распределения центральной группы между обменником и водным раствором определяется уравнением</w:t>
      </w:r>
    </w:p>
    <w:p w:rsidR="00702D19" w:rsidRDefault="004846A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246pt;height:81pt">
            <v:imagedata r:id="rId17" o:title=""/>
          </v:shape>
        </w:pict>
      </w:r>
    </w:p>
    <w:p w:rsidR="00702D19" w:rsidRDefault="00702D19">
      <w:pPr>
        <w:ind w:firstLine="720"/>
        <w:jc w:val="both"/>
        <w:rPr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где</w:t>
      </w:r>
    </w:p>
    <w:p w:rsidR="00702D19" w:rsidRDefault="004846A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8" type="#_x0000_t75" style="width:156.75pt;height:51pt">
            <v:imagedata r:id="rId18" o:title=""/>
          </v:shape>
        </w:pic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является смешанной константой обмена реакции   и</w:t>
      </w:r>
    </w:p>
    <w:p w:rsidR="00702D19" w:rsidRDefault="004846A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179.25pt;height:41.25pt">
            <v:imagedata r:id="rId19" o:title=""/>
          </v:shape>
        </w:pict>
      </w:r>
      <w:r w:rsidR="00702D19">
        <w:rPr>
          <w:color w:val="000000"/>
          <w:sz w:val="28"/>
          <w:szCs w:val="28"/>
        </w:rPr>
        <w:t xml:space="preserve"> является смешанной константой устойчивости формы В</w:t>
      </w:r>
      <w:r w:rsidR="00702D19">
        <w:rPr>
          <w:color w:val="000000"/>
          <w:sz w:val="28"/>
          <w:szCs w:val="28"/>
          <w:lang w:val="en-US"/>
        </w:rPr>
        <w:t>A</w:t>
      </w:r>
      <w:r w:rsidR="00702D19">
        <w:rPr>
          <w:color w:val="000000"/>
          <w:sz w:val="28"/>
          <w:szCs w:val="28"/>
          <w:vertAlign w:val="subscript"/>
          <w:lang w:val="en-US"/>
        </w:rPr>
        <w:t>n</w:t>
      </w:r>
      <w:r w:rsidR="00702D19">
        <w:rPr>
          <w:color w:val="000000"/>
          <w:sz w:val="28"/>
          <w:szCs w:val="28"/>
        </w:rPr>
        <w:t xml:space="preserve">. 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702D19" w:rsidRDefault="00702D19">
      <w:pPr>
        <w:pageBreakBefore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литературы: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rPr>
          <w:b/>
          <w:bCs/>
          <w:color w:val="000000"/>
          <w:sz w:val="28"/>
          <w:szCs w:val="28"/>
        </w:rPr>
      </w:pPr>
    </w:p>
    <w:p w:rsidR="00702D19" w:rsidRDefault="00702D1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Бек Н. Химия равновесия реакций комплексообразования. М.Мир. 1973.</w:t>
      </w:r>
    </w:p>
    <w:p w:rsidR="00702D19" w:rsidRDefault="00702D1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Белеванцев В.Н., Пещевицкий Б.Н. Исследование сложных равновесий в растворе. Новосибирск.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Наука, 1978.</w:t>
      </w:r>
    </w:p>
    <w:p w:rsidR="00702D19" w:rsidRDefault="00702D1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Россотти Ф,, Россотти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. Определение констант устойчивости и других констант равновесия 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растворах. М. Мир. 1965.</w:t>
      </w:r>
    </w:p>
    <w:p w:rsidR="00702D19" w:rsidRDefault="00702D1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Новоселова А.В. Методы исследования гетерогенных равновесий.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>М., Высшая школа. 1980.</w:t>
      </w: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rPr>
          <w:b/>
          <w:bCs/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702D19" w:rsidRDefault="00702D19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0" w:name="_GoBack"/>
      <w:bookmarkEnd w:id="0"/>
    </w:p>
    <w:sectPr w:rsidR="00702D19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D19" w:rsidRDefault="00702D19">
      <w:r>
        <w:separator/>
      </w:r>
    </w:p>
  </w:endnote>
  <w:endnote w:type="continuationSeparator" w:id="0">
    <w:p w:rsidR="00702D19" w:rsidRDefault="0070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D19" w:rsidRDefault="00551E3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702D19" w:rsidRDefault="00702D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D19" w:rsidRDefault="00702D19">
      <w:r>
        <w:separator/>
      </w:r>
    </w:p>
  </w:footnote>
  <w:footnote w:type="continuationSeparator" w:id="0">
    <w:p w:rsidR="00702D19" w:rsidRDefault="00702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D19" w:rsidRDefault="00702D1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213F0"/>
    <w:multiLevelType w:val="hybridMultilevel"/>
    <w:tmpl w:val="1B40E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ED17E7"/>
    <w:multiLevelType w:val="hybridMultilevel"/>
    <w:tmpl w:val="E4505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B41CAF"/>
    <w:multiLevelType w:val="hybridMultilevel"/>
    <w:tmpl w:val="2166C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59492B"/>
    <w:multiLevelType w:val="hybridMultilevel"/>
    <w:tmpl w:val="49E6775E"/>
    <w:lvl w:ilvl="0" w:tplc="B80EA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E3D"/>
    <w:rsid w:val="004846A4"/>
    <w:rsid w:val="00551E3D"/>
    <w:rsid w:val="006C087F"/>
    <w:rsid w:val="0070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D72CD729-975F-4770-9095-1A4CC852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растворимости и ионного обмена как инструмент изучения равновесий в водном растворе</vt:lpstr>
    </vt:vector>
  </TitlesOfParts>
  <Company>Home</Company>
  <LinksUpToDate>false</LinksUpToDate>
  <CharactersWithSpaces>14521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растворимости и ионного обмена как инструмент изучения равновесий в водном растворе</dc:title>
  <dc:subject/>
  <dc:creator>Katya</dc:creator>
  <cp:keywords/>
  <dc:description/>
  <cp:lastModifiedBy>admin</cp:lastModifiedBy>
  <cp:revision>2</cp:revision>
  <dcterms:created xsi:type="dcterms:W3CDTF">2014-03-15T08:12:00Z</dcterms:created>
  <dcterms:modified xsi:type="dcterms:W3CDTF">2014-03-15T08:12:00Z</dcterms:modified>
</cp:coreProperties>
</file>