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44A" w:rsidRPr="00B30B51" w:rsidRDefault="0010644A" w:rsidP="0010644A">
      <w:pPr>
        <w:autoSpaceDE w:val="0"/>
        <w:autoSpaceDN w:val="0"/>
        <w:adjustRightInd w:val="0"/>
        <w:spacing w:line="360" w:lineRule="auto"/>
        <w:jc w:val="center"/>
        <w:rPr>
          <w:b/>
          <w:bCs/>
          <w:caps/>
          <w:kern w:val="28"/>
          <w:sz w:val="28"/>
          <w:szCs w:val="22"/>
        </w:rPr>
      </w:pPr>
      <w:r w:rsidRPr="00B30B51">
        <w:rPr>
          <w:b/>
          <w:bCs/>
          <w:caps/>
          <w:kern w:val="28"/>
          <w:sz w:val="28"/>
          <w:szCs w:val="22"/>
        </w:rPr>
        <w:t>Источники и размеры материального обеспечения рководителей практики и практикантов</w:t>
      </w:r>
    </w:p>
    <w:p w:rsidR="0010644A" w:rsidRDefault="0010644A"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Практика студентов вузов, учащихся учреждений, обеспечивающих получение среднего специального образования (ССУЗов), учреждений образования, обеспечивающих получение профессионально-технического образования (ПТУЗов), - важный этап осуществления учебного процесса.</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Планирование, материальное обеспечение, организация, содержание, проведение и подведение итогов практики регулируются следующими нормативными документами:</w:t>
      </w:r>
    </w:p>
    <w:p w:rsidR="0010644A" w:rsidRPr="00F8625D" w:rsidRDefault="0010644A" w:rsidP="0010644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Положением о производственной практике студентов высших учебных заведений Республики Беларусь, утвержденным постановлением Совета Министров Республики Беларусь от 30.11.2000 № 1823 (далее - Положение № 1823);</w:t>
      </w:r>
    </w:p>
    <w:p w:rsidR="0010644A" w:rsidRPr="00F8625D" w:rsidRDefault="0010644A" w:rsidP="0010644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Положением о практике учащихся учреждений, обеспечивающих получение среднего специального образования, утвержденным постановлением Совета Министров Республики Беларусь от 06.11.2001 № 1672 (далее - Положение № 1672);</w:t>
      </w:r>
    </w:p>
    <w:p w:rsidR="0010644A" w:rsidRPr="00F8625D" w:rsidRDefault="0010644A" w:rsidP="0010644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Положением об организации производственного обучения учащихся учреждений, обеспечивающих получение профессионально-технического образования, утвержденным постановлением Совета Министров Республики Беларусь от 28.10.2002 № 1487 (далее - Положение № 1487).</w:t>
      </w:r>
    </w:p>
    <w:p w:rsidR="0010644A" w:rsidRPr="00F8625D" w:rsidRDefault="0010644A" w:rsidP="0010644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Виды практики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Практика студентов вузов подразделяется на учебную и производственную (по профилю специальности и преддипломную). Преддипломная практика проводится на выпускном курсе.</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Учебная практика студентов в зависимости от специальности может проводиться на учебно-производственных объектах (в мастерских, на полигонах) высших учебных заведений, в организациях, на выездных художественных выставках и других объектах, соответствующих профилю подготовки специалистов.</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Производственная практика проводится в условиях конкретного производства (в организациях). Допускается проведение производственной практики в составе студенческих отрядов, если выполняемая студентом работа соответствует профилю специальности, по которой он обучается.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Практика учащихся ССУЗов (техникумы (училища), колледжи (средние специальные учебные заведения), средние школы-колледжи искусств, гимназии-колледжи искусств, лингвистические гимназии-колледжи, профессионально-технические колледжи, высшие колледжи) подразделяется на учебную, технологическую и преддипломную.</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Учебная практика может проводиться в учебных и учебно-производственных мастерских, учебных хозяйствах, на учебно-опытных участках и в других структурных подразделениях среднего специального учебного заведения, а также в организациях или на других объектах по профилю подготовки специалистов.</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Технологическая практика проводится в организациях различных форм собственности, а также в учебно-производственных мастерских и учебных хозяйствах среднего специального учебного заведения, выпускающих товарную продукцию, технология изготовления которой отвечает требованиям программы практики. Допускается проведение технологической практики в составе студенческих отрядов, если выполняемая учащимся работа соответствует профилю специальности, по которой он обучается.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Преддипломная практика, как правило, проходит в организациях по месту будущей работы выпускника.</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Практика (производственное обучение) по учебным специальностям (профессиям) учащихся ПТУЗов включает начальный, основной и заключительный (производственная практика) периоды.</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Производственное обучение в начальном и основном периодах может проводиться в учебных, учебно-производственных мастерских, учебных хозяйствах, на полигонах и иных учебно-производственных объектах учреждений образования, в специализированных учреждениях (обособленных подразделениях) производственного обучения, на объектах производства, в том числе ученических местах организаций.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Положение о специализированном учреждении (обособленном подразделении) производственного обучения утверждено постановлением Министерства образования Республики Беларусь от 02.02.2006 № 7.</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Производственное обучение в заключительном периоде (производственная практика) проводится в организациях-заказчиках кадров и других организациях, а в отдельных случаях - на учебно-производственных объектах учреждений образования по согласованию с органом управления образованием по подчиненности.</w:t>
      </w:r>
    </w:p>
    <w:p w:rsidR="0010644A"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Организации-заказчики кадров, заключившие договоры о подготовке рабочих (служащих) за счет средств республиканского и (или) местных бюджетов с государственным учреждением образования, обязаны предоставлять ему объекты для прохождения учащимися этого учреждения производственного обучения.</w:t>
      </w:r>
    </w:p>
    <w:p w:rsidR="004150C4" w:rsidRPr="00F8625D"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Оформление отношений практикантов с организациями</w:t>
      </w:r>
    </w:p>
    <w:p w:rsidR="004150C4"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Основанием для прохождения практики является приказ руководителя учебного заведения, которым назначается руководитель практики от учебного заведения, устанавливаются сроки и место (организация) прохождения практики.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Между организацией, где проводится практика, и учебным заведением заключается договор. Отношения практикантов (студентов и учащихся) с организациями и соответственно оформление этих отношений могут быть различными в зависимости от того обстоятельства, приняты ли студенты и учащиеся на вакантные должности в качестве работников или же они только зачислены в качестве практикантов. Зачисление на вакантную должность на период практики является правом, а не обязанностью руководителя.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Студенты вузов во время учебной и преддипломной практики и учащиеся ССУЗов во время прохождения преддипломной практики при наличии вакантных должностей в организации могут в установленном порядке зачисляться на них. Если студент зачисляется на вакантную должность, то он получает статус работника организации, с ним заключается срочный (на период проведения практики) трудовой договор и заводится трудовая книжка (в случае ее отсутствия). При этом на данного работника распространяются все нормы трудового законодательства, он обязан соблюдать правила внутреннего трудового распорядка, принятые в организации. В соответствии с Законом Республики Беларусь "Об индивидуальном (персонифицированном) учете в системе государственного социального страхования" организация обязана представлять на такого работника в органы фонда социальной защиты населения сведения, необходимые для ведения персонифицированного учета.</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Увольнение таких работников осуществляется по окончании периода практики в связи с истечением срока трудового договора (п. 2 ст. 35 Трудового кодекса).</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случае зачисления практикантов на штатные должности в организации, финансируемые из бюджета, условия оплаты их труда определяются постановлением Министерства труда Республики Беларусь от 21.01.2000 № 6 "О мерах по совершенствованию условий оплаты труда работников организаций, финансируемых из бюджета и пользующихся государственными дотациями" и другими нормативными правовыми актами.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практикантами, зачисленными на период производственной практики на штатные должности и получающими заработную плату в соответствии с действующим законодательством, сохраняется право на получение стипендии.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Независимо от того, заключаются ли с практикантами трудовые договоры или не заключаются, организация, где проводится практика, обязана осуществлять общее и непосредственное руководство этой практикой.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студентов, не зачисленных на штатные должности, распространяется режим рабочего дня, действующий в данной организации.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Руководитель организации во исполнение договора с учебным заведением и графика прохождения практики (производственного обучения) издает приказ, в котором указываются количество и фамилии практикантов, сроки прохождения и вид практики, структурные подразделения, куда направляются практиканты, сведения о руководителях, которые осуществляют общее и непосредственное руководство, оплата за руководство практикой и иные вопросы, связанные с организацией практики.</w:t>
      </w:r>
    </w:p>
    <w:p w:rsidR="004150C4" w:rsidRDefault="004150C4" w:rsidP="0010644A">
      <w:pPr>
        <w:autoSpaceDE w:val="0"/>
        <w:autoSpaceDN w:val="0"/>
        <w:adjustRightInd w:val="0"/>
        <w:spacing w:line="360" w:lineRule="auto"/>
        <w:ind w:firstLine="709"/>
        <w:jc w:val="both"/>
        <w:rPr>
          <w:rFonts w:cs="Arial"/>
          <w:bCs/>
          <w:caps/>
          <w:kern w:val="28"/>
          <w:sz w:val="28"/>
          <w:szCs w:val="18"/>
        </w:rPr>
      </w:pPr>
    </w:p>
    <w:p w:rsidR="0010644A" w:rsidRPr="00F8625D" w:rsidRDefault="0010644A" w:rsidP="0010644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Материальное обеспечение руководителей практики и студентов вузов</w:t>
      </w:r>
    </w:p>
    <w:p w:rsidR="004150C4"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Условия оплаты труда руководителей практики, являющихся работниками организаций, финансируемых за счет средств бюджета и пользующихся государственными дотациями, определены постановлением Министерства образования Республики Беларусь от 28.02.2001 № 15 "Об условиях оплаты труда работникам организаций за руководство производственной практикой студентов высших учебных заведений Республики Беларусь". Постановление обязательно для исполнения в бюджетных организациях и пользующихся государственными дотациями, в которых студенты вузов проходят практику. Его рекомендуется применять организациям иных форм собственности.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производится ежемесячно в процентах от должностного оклада, установленного по основной работе (таблицы 1 и 2).</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Источники материального обеспечения студентов и руководителей практики определены в Положении № 1823.</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труда работников бюджетных организаций и пользующихся государственными дотациями за руководство производственной практикой студентов, обучающихся по специальностям педагогического профиля государственных высших учебных заведений и по группе специальностей "Право" частных высших учебных заведений, производится за счет средств этих учебных заведений.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других случаях оплата производится за счет средств организаций, в которых студенты проходят практику. Например, если студент вуза, обучающийся по специальности "бухгалтерский учет, анализ и аудит", направлен на преддипломную практику в бюджетную организацию здравоохранения, оплата труда руководителя практики (работника организации здравоохранения) производится за счет бюджетных средств в соответствии со сметой расходов по бюджету этой организации.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Лекции, консультации и экскурсии, проводимые работниками, не являющимися руководителями производственной практики, оплачиваются высшими учебными заведениями на основании выставленных счетов. Оплата производится за счет средств, предусмотренных на производственную практику, исходя из фактически затраченного времени, по порядкам и ставкам почасовой оплаты, установленным действующим законодательством для высших учебных заведений.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Проезд студентов, обучающихся с отрывом от производства, направляемых к месту прохождения практики и обратно железнодорожным, автомобильным или водным транспортом во внутриреспубликанском (междугородном) и международном сообщениях, оплачивается за счет средств высших учебных заведений, а в городском и пригородном сообщениях оплачивается студентами за свой счет.</w:t>
      </w:r>
    </w:p>
    <w:p w:rsidR="0010644A" w:rsidRPr="00F8625D" w:rsidRDefault="004150C4" w:rsidP="0010644A">
      <w:pPr>
        <w:autoSpaceDE w:val="0"/>
        <w:autoSpaceDN w:val="0"/>
        <w:adjustRightInd w:val="0"/>
        <w:spacing w:line="360" w:lineRule="auto"/>
        <w:ind w:firstLine="709"/>
        <w:jc w:val="both"/>
        <w:rPr>
          <w:rFonts w:cs="Courier New"/>
          <w:kern w:val="28"/>
          <w:sz w:val="28"/>
          <w:szCs w:val="22"/>
        </w:rPr>
      </w:pPr>
      <w:r>
        <w:rPr>
          <w:rFonts w:cs="Courier New"/>
          <w:kern w:val="28"/>
          <w:sz w:val="28"/>
          <w:szCs w:val="22"/>
        </w:rPr>
        <w:br w:type="page"/>
      </w:r>
      <w:r w:rsidR="0010644A" w:rsidRPr="00F8625D">
        <w:rPr>
          <w:rFonts w:cs="Courier New"/>
          <w:kern w:val="28"/>
          <w:sz w:val="28"/>
          <w:szCs w:val="22"/>
        </w:rPr>
        <w:t>Таблица 1</w:t>
      </w:r>
    </w:p>
    <w:p w:rsidR="0010644A" w:rsidRPr="00F8625D" w:rsidRDefault="0010644A" w:rsidP="0010644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Условия оплаты руководителя практики, осуществляющего ее общее руководство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10644A" w:rsidRPr="00597A33" w:rsidTr="00597A33">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Количество студентов</w:t>
            </w:r>
          </w:p>
        </w:tc>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Размер оплаты, %</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11 до 20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25</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21 до 30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30</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31 до 40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40</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41 до 50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45</w:t>
            </w:r>
          </w:p>
        </w:tc>
      </w:tr>
    </w:tbl>
    <w:p w:rsidR="004150C4" w:rsidRDefault="004150C4" w:rsidP="0010644A">
      <w:pPr>
        <w:autoSpaceDE w:val="0"/>
        <w:autoSpaceDN w:val="0"/>
        <w:adjustRightInd w:val="0"/>
        <w:spacing w:line="360" w:lineRule="auto"/>
        <w:ind w:firstLine="709"/>
        <w:jc w:val="both"/>
        <w:rPr>
          <w:rFonts w:cs="Arial"/>
          <w:bCs/>
          <w:iCs/>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Arial"/>
          <w:bCs/>
          <w:iCs/>
          <w:kern w:val="28"/>
          <w:sz w:val="28"/>
          <w:szCs w:val="18"/>
        </w:rPr>
        <w:t>Примечание</w:t>
      </w:r>
      <w:r w:rsidRPr="00F8625D">
        <w:rPr>
          <w:rFonts w:cs="Tahoma"/>
          <w:kern w:val="28"/>
          <w:sz w:val="28"/>
          <w:szCs w:val="18"/>
        </w:rPr>
        <w:t>. При численности студентов свыше 50 человек руководитель производственной практики, осуществляющий ее общее руководство, может освобождаться от основной работы. При этом за ним сохраняется средняя заработная плата.</w:t>
      </w:r>
    </w:p>
    <w:p w:rsidR="004150C4" w:rsidRDefault="004150C4" w:rsidP="0010644A">
      <w:pPr>
        <w:autoSpaceDE w:val="0"/>
        <w:autoSpaceDN w:val="0"/>
        <w:adjustRightInd w:val="0"/>
        <w:spacing w:line="360" w:lineRule="auto"/>
        <w:ind w:firstLine="709"/>
        <w:jc w:val="both"/>
        <w:rPr>
          <w:rFonts w:cs="Courier New"/>
          <w:kern w:val="28"/>
          <w:sz w:val="28"/>
          <w:szCs w:val="22"/>
        </w:rPr>
      </w:pPr>
    </w:p>
    <w:p w:rsidR="0010644A" w:rsidRPr="00F8625D" w:rsidRDefault="0010644A" w:rsidP="0010644A">
      <w:pPr>
        <w:autoSpaceDE w:val="0"/>
        <w:autoSpaceDN w:val="0"/>
        <w:adjustRightInd w:val="0"/>
        <w:spacing w:line="360" w:lineRule="auto"/>
        <w:ind w:firstLine="709"/>
        <w:jc w:val="both"/>
        <w:rPr>
          <w:rFonts w:cs="Courier New"/>
          <w:kern w:val="28"/>
          <w:sz w:val="28"/>
          <w:szCs w:val="22"/>
        </w:rPr>
      </w:pPr>
      <w:r w:rsidRPr="00F8625D">
        <w:rPr>
          <w:rFonts w:cs="Courier New"/>
          <w:kern w:val="28"/>
          <w:sz w:val="28"/>
          <w:szCs w:val="22"/>
        </w:rPr>
        <w:t>Таблица 2</w:t>
      </w:r>
    </w:p>
    <w:p w:rsidR="0010644A" w:rsidRPr="00F8625D" w:rsidRDefault="0010644A" w:rsidP="0010644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Условия оплаты руководителя практики, осуществляющего ее непосредственное руководство в структурных подразделениях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10644A" w:rsidRPr="00597A33" w:rsidTr="00597A33">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Количество студентов</w:t>
            </w:r>
          </w:p>
        </w:tc>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Размер оплаты, %</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до 4</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15</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5 до 7</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30</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от 8 до 10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45</w:t>
            </w:r>
          </w:p>
        </w:tc>
      </w:tr>
    </w:tbl>
    <w:p w:rsidR="004150C4"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период прохождения практики, связанной с выездом с местонахождения учебного заведения, студенты получают суточные в размере 10% базовой величины за каждый день, в том числе за время нахождения в дороге до места практики и обратно. Студентам, принятым на оплачиваемую работу на период прохождения практики вне места нахождения учебного заведения, суточные не выплачиваются. Такой порядок установлен п.6 постановления Кабинета Министров Республики Беларусь от 28.02.1995 № 106 "О мерах по социальной поддержке населения" (в редакции постановления от 14.11.2007 № 1511). Для получения суточных студент по окончании практики должен представить в бухгалтерию вуза:</w:t>
      </w:r>
    </w:p>
    <w:p w:rsidR="0010644A" w:rsidRPr="00F8625D" w:rsidRDefault="0010644A" w:rsidP="0010644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справку с места практики о том, что на время прохождения практики студент не был зачислен на оплачиваемую должность;</w:t>
      </w:r>
    </w:p>
    <w:p w:rsidR="0010644A" w:rsidRPr="00F8625D" w:rsidRDefault="0010644A" w:rsidP="0010644A">
      <w:pPr>
        <w:numPr>
          <w:ilvl w:val="1"/>
          <w:numId w:val="1"/>
        </w:numPr>
        <w:autoSpaceDE w:val="0"/>
        <w:autoSpaceDN w:val="0"/>
        <w:adjustRightInd w:val="0"/>
        <w:spacing w:line="360" w:lineRule="auto"/>
        <w:ind w:left="0" w:firstLine="709"/>
        <w:jc w:val="both"/>
        <w:rPr>
          <w:kern w:val="28"/>
          <w:sz w:val="28"/>
        </w:rPr>
      </w:pPr>
      <w:r w:rsidRPr="00F8625D">
        <w:rPr>
          <w:rFonts w:cs="Tahoma"/>
          <w:kern w:val="28"/>
          <w:sz w:val="28"/>
          <w:szCs w:val="18"/>
        </w:rPr>
        <w:t>- направление на практику, оформленное в установленном порядке (с отметками о выбытии из вуза, прибытии на место практики, выбытии с места практики и прибытии в вуз).</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Расходы на проезд возмещаются студенту на основании представленных в бухгалтерию вуза проездных билетов к месту практики и обратно.</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Вуз оплачивает также командировки преподавателей, выезжающих для руководства практикой.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Расходы на организацию производственной практики (суточные, проживание, проезд, виза, медицинская страховка) студентов, обучающихся за счет средств республиканского бюджета по специальностям внешнеэкономической деятельности, продолжительностью до двух месяцев в представительствах белорусских субъектов хозяйствования и коммерческих организациях, созданных с участием инвестиций юридических и физических лиц Республики Беларусь за границей, осуществляются за счет средств республиканского бюджета.</w:t>
      </w:r>
    </w:p>
    <w:p w:rsidR="004150C4" w:rsidRDefault="004150C4" w:rsidP="0010644A">
      <w:pPr>
        <w:autoSpaceDE w:val="0"/>
        <w:autoSpaceDN w:val="0"/>
        <w:adjustRightInd w:val="0"/>
        <w:spacing w:line="360" w:lineRule="auto"/>
        <w:ind w:firstLine="709"/>
        <w:jc w:val="both"/>
        <w:rPr>
          <w:rFonts w:cs="Arial"/>
          <w:bCs/>
          <w:caps/>
          <w:kern w:val="28"/>
          <w:sz w:val="28"/>
          <w:szCs w:val="18"/>
        </w:rPr>
      </w:pPr>
    </w:p>
    <w:p w:rsidR="0010644A" w:rsidRPr="00F8625D" w:rsidRDefault="0010644A" w:rsidP="0010644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Материальное обеспечение руководителей практики и учащихся</w:t>
      </w:r>
    </w:p>
    <w:p w:rsidR="004150C4"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Размеры и источники материального обеспечения руководителей практики, а также учащихся ССУЗов определены в Положении № 1672.</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труда работников бюджетных организаций и пользующихся государственными дотациями за руководство практикой учащихся ССУЗов установлена в таком же размере, как за руководство практикой студентов вузов, а источником оплаты являются средства учебного заведения.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Оплату труда работников иных организаций по руководству практикой учащихся ССУЗов рекомендуется производить за счет средств этих организаций.</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лекций, консультаций, проведенных работниками, не являющимися руководителями практики учащихся, производится ССУЗом за фактически затраченное время по часовым тарифным ставкам, установленным нормативными правовыми актами, в пределах времени, отведенного учебным планом.</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труда мастера производственного обучения в среднем специальном учебном заведении, который проводит практику учащихся, осуществляется в соответствии с законодательством.</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случаях, когда учебную практику вместо мастеров производственного обучения проводят преподаватели среднего специального учебного заведения, оплата их труда производится за фактически отработанное количество часов по ставкам заработной платы, исчисленным из должностного оклада мастера производственного обучения.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труда руководителя практики из числа преподавателей или других работников среднего специального учебного заведения производится по часовым ставкам, исчисленным из ставки заработной платы преподавателя. Продолжительность рабочего дня руководителя практики зависит от фактически затраченного количества часов, но не более шести часов в день.</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направлении учащихся для прохождения практики вне места нахождения учебного заведения вопросы оплаты проезда к месту практики и обратно и выплаты суточных за период прохождения практики решаются в порядке, аналогичном для студентов вузов. В этом случае оплачиваются также командировки работников ССУЗов, выезжающих для руководства практикой учащихся.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период прохождения практики за учащимися сохраняется право на получение стипендии на общих основаниях.</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Оценка по практике учитывается при подведении итогов общей успеваемости учащегося и назначении стипендии.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Труд работников организаций, предоставляющих объекты для производственного обучения, за руководство производственным обучением учащихся ПТУЗов оплачивается в соответствии с Положением № 1487.</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Оплата производится ежемесячно (в течение всего периода производственного обучения) в процентах от заработной платы, получаемой по основному месту работы, за счет средств организаций, в которых учащиеся проходят производственное обучение (таблица 3).</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проведении производственного обучения в организациях учреждение образования обеспечивает в установленном порядке совместно с организацией питание учащихся.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Постановлением Совета Министров Республики Беларусь от 22.02.1993 № 89 "О материальном обеспечении учащихся учреждений, обеспечивающих получение профессионально-технического образования и индустриально-педагогических колледжей" предусмотрено обеспечение учащихся ПТУЗов, обучающихся не менее 10 месяцев, одноразовым горячим питанием, а учащихся этой категории из малообеспеченных семей (средний совокупный доход на члена семьи в месяц за предшествующий год не превышает 60% утвержденного бюджета прожиточного минимума в среднем на душу населения в ценах декабря предшествующего года), а также иногородних, обучающихся в ПТУЗах, расположенных в сельских населенных пунктах и рабочих поселках, - трехразовым горячим питанием в учебные дни в соответствии с натуральными нормами и в пределах денежных норм расходов на питание, устанавливаемых правительством.</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невозможности организации горячего питания во время прохождения производственного обучения руководителям ПТУЗов разрешено выплачивать учащимся, названным выше, денежную компенсацию исходя из установленных денежных норм расходов на питание (без повышающего коэффициента). В иных случаях выплата денежной компенсации взамен горячего питания во время обучения не производится.</w:t>
      </w:r>
    </w:p>
    <w:p w:rsidR="0010644A" w:rsidRPr="00F8625D" w:rsidRDefault="0010644A" w:rsidP="0010644A">
      <w:pPr>
        <w:autoSpaceDE w:val="0"/>
        <w:autoSpaceDN w:val="0"/>
        <w:adjustRightInd w:val="0"/>
        <w:spacing w:line="360" w:lineRule="auto"/>
        <w:ind w:firstLine="709"/>
        <w:jc w:val="both"/>
        <w:rPr>
          <w:rFonts w:cs="Courier New"/>
          <w:kern w:val="28"/>
          <w:sz w:val="28"/>
          <w:szCs w:val="22"/>
        </w:rPr>
      </w:pPr>
      <w:r w:rsidRPr="00F8625D">
        <w:rPr>
          <w:rFonts w:cs="Courier New"/>
          <w:kern w:val="28"/>
          <w:sz w:val="28"/>
          <w:szCs w:val="22"/>
        </w:rPr>
        <w:t>Таблица 3</w:t>
      </w:r>
    </w:p>
    <w:p w:rsidR="0010644A" w:rsidRDefault="0010644A" w:rsidP="0010644A">
      <w:pPr>
        <w:autoSpaceDE w:val="0"/>
        <w:autoSpaceDN w:val="0"/>
        <w:adjustRightInd w:val="0"/>
        <w:spacing w:line="360" w:lineRule="auto"/>
        <w:ind w:firstLine="709"/>
        <w:jc w:val="both"/>
        <w:rPr>
          <w:rFonts w:cs="Arial"/>
          <w:bCs/>
          <w:iCs/>
          <w:kern w:val="28"/>
          <w:sz w:val="28"/>
          <w:szCs w:val="18"/>
        </w:rPr>
      </w:pPr>
      <w:r w:rsidRPr="00F8625D">
        <w:rPr>
          <w:rFonts w:cs="Arial"/>
          <w:bCs/>
          <w:iCs/>
          <w:kern w:val="28"/>
          <w:sz w:val="28"/>
          <w:szCs w:val="18"/>
        </w:rPr>
        <w:t>Условия оплаты работников организаций за руководство производственным обучением</w:t>
      </w:r>
    </w:p>
    <w:p w:rsidR="004150C4" w:rsidRPr="00F8625D" w:rsidRDefault="004150C4" w:rsidP="0010644A">
      <w:pPr>
        <w:autoSpaceDE w:val="0"/>
        <w:autoSpaceDN w:val="0"/>
        <w:adjustRightInd w:val="0"/>
        <w:spacing w:line="360" w:lineRule="auto"/>
        <w:ind w:firstLine="709"/>
        <w:jc w:val="both"/>
        <w:rPr>
          <w:rFonts w:cs="Arial"/>
          <w:bCs/>
          <w:iCs/>
          <w:kern w:val="28"/>
          <w:sz w:val="2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10644A" w:rsidRPr="00597A33" w:rsidTr="00597A33">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Количество студентов</w:t>
            </w:r>
          </w:p>
        </w:tc>
        <w:tc>
          <w:tcPr>
            <w:tcW w:w="2500" w:type="pct"/>
            <w:shd w:val="clear" w:color="auto" w:fill="auto"/>
          </w:tcPr>
          <w:p w:rsidR="0010644A" w:rsidRPr="00597A33" w:rsidRDefault="0010644A" w:rsidP="00597A33">
            <w:pPr>
              <w:shd w:val="clear" w:color="auto" w:fill="FFEEFF"/>
              <w:autoSpaceDE w:val="0"/>
              <w:autoSpaceDN w:val="0"/>
              <w:adjustRightInd w:val="0"/>
              <w:spacing w:line="360" w:lineRule="auto"/>
              <w:ind w:firstLine="709"/>
              <w:jc w:val="both"/>
              <w:rPr>
                <w:rFonts w:cs="Arial"/>
                <w:bCs/>
                <w:kern w:val="28"/>
                <w:sz w:val="20"/>
                <w:szCs w:val="20"/>
              </w:rPr>
            </w:pPr>
            <w:r w:rsidRPr="00597A33">
              <w:rPr>
                <w:rFonts w:cs="Arial"/>
                <w:bCs/>
                <w:kern w:val="28"/>
                <w:sz w:val="20"/>
                <w:szCs w:val="20"/>
              </w:rPr>
              <w:t>Размер оплаты, %</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1 -2</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5</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3-4</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10</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5-7</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20</w:t>
            </w:r>
          </w:p>
        </w:tc>
      </w:tr>
      <w:tr w:rsidR="0010644A" w:rsidRPr="00597A33" w:rsidTr="00597A33">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8- 10</w:t>
            </w:r>
          </w:p>
        </w:tc>
        <w:tc>
          <w:tcPr>
            <w:tcW w:w="2500" w:type="pct"/>
            <w:shd w:val="clear" w:color="auto" w:fill="auto"/>
          </w:tcPr>
          <w:p w:rsidR="0010644A" w:rsidRPr="00597A33" w:rsidRDefault="0010644A" w:rsidP="00597A33">
            <w:pPr>
              <w:autoSpaceDE w:val="0"/>
              <w:autoSpaceDN w:val="0"/>
              <w:adjustRightInd w:val="0"/>
              <w:spacing w:line="360" w:lineRule="auto"/>
              <w:ind w:firstLine="709"/>
              <w:jc w:val="both"/>
              <w:rPr>
                <w:rFonts w:cs="Verdana"/>
                <w:kern w:val="28"/>
                <w:sz w:val="20"/>
                <w:szCs w:val="20"/>
              </w:rPr>
            </w:pPr>
            <w:r w:rsidRPr="00597A33">
              <w:rPr>
                <w:rFonts w:cs="Verdana"/>
                <w:kern w:val="28"/>
                <w:sz w:val="20"/>
                <w:szCs w:val="20"/>
              </w:rPr>
              <w:t>30</w:t>
            </w:r>
          </w:p>
        </w:tc>
      </w:tr>
    </w:tbl>
    <w:p w:rsidR="004150C4" w:rsidRDefault="004150C4" w:rsidP="0010644A">
      <w:pPr>
        <w:autoSpaceDE w:val="0"/>
        <w:autoSpaceDN w:val="0"/>
        <w:adjustRightInd w:val="0"/>
        <w:spacing w:line="360" w:lineRule="auto"/>
        <w:ind w:firstLine="709"/>
        <w:jc w:val="both"/>
        <w:rPr>
          <w:rFonts w:cs="Tahoma"/>
          <w:kern w:val="28"/>
          <w:sz w:val="28"/>
          <w:szCs w:val="18"/>
        </w:rPr>
      </w:pP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Названным выше постановлением Совмина предусмотрено также выдавать учащимся ПТУЗов и индустриально-педагогических колледжей при прохождении производственного обучения и производственной практики спецодежду, спецобувь, другие средства индивидуальной защиты по нормам, установленным для рабочих соответствующих отраслей и профессий, за счет средств учебного заведения.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учащимися в период производственного обучения сохраняется право на получение стипендии.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направлении учащихся для прохождения производственного обучения вне места расположения учреждения образования организация производит оплату транспортных расходов учащимся и мастерам производственного обучения по перевозке их к месту производственного обучения и обратно, а также создает для них необходимые жилищно-бытовые условия.</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За все работы, выполненные учащимися во время производственного обучения, организация начисляет денежные суммы по нормам, расценкам, ставкам (окладам) с учетом премий и других доплат, действующим в данной организации.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Постановлением Совета Министров Республики Беларусь от 27.01.1992 № 35 "О порядке выплаты учащимся профессионально-технических училищ сумм, заработанных ими в период производственного обучения и производственной практики" руководителям ПТУЗов совместно с советами этих учебных заведений разрешено устанавливать размеры и определять по согласованию с объединениями, предприятиями и организациями порядок выплаты учащимся сумм, заработанных в период производственного обучения и производственной практики. При этом размеры выплат учащимся не должны быть ниже 75% указанных сумм. Оплата перевыполнения норм выработки и выплата премий учащимся, проходящим производственную практику в составе бригад, производятся непосредственно на производстве в размере 100% заработанных ими сумм (кроме учащихся, обучающихся в специальных профессионально-технических училищах).</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Другие нормативные документы, регулирующие организацию и проведение практики и стажировки, не комментируемые в данной публикации</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Проведение практики слушателей военных учебных заведений регулируется Инструкцией по организации и проведению учебной и производственной практики, войсковой стажировки курсантов, слушателей военных учебных заведений и других учреждений образования, осуществляющих подготовку офицерских кадров, утвержденной постановлением Министерства обороны и Министерства образования от 28.09.2006 № 35/93.</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Практика слушателей (курсантов) учебных заведений МЧС проводится в соответствии с Инструкцией об организации и проведении производственной практики слушателей (курсантов) учреждений образования Министерства по чрезвычайным ситуациям Республики Беларусь, утвержденной постановлением Министерства по чрезвычайным ситуациям Республики Беларусь от 11.10.2006 № 50.</w:t>
      </w:r>
    </w:p>
    <w:p w:rsidR="0010644A" w:rsidRPr="00F8625D" w:rsidRDefault="0010644A" w:rsidP="001064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Стажировка выпускников медицинских учреждений образования регламентируется Инструкцией о стажировке выпускников высших медицинских учреждений образования в Республике Беларусь, утвержденной постановлением Министерства здравоохранения Республики Беларусь от 02.12.2005 № 49, а также приказом Министерства здравоохранения Республики Беларусь от 28.05.2007 № 441 "О порядке проведения стажировки выпускников высших медицинских учреждений образования Республики Беларусь".</w:t>
      </w:r>
    </w:p>
    <w:p w:rsidR="0010644A" w:rsidRPr="00FA31E9" w:rsidRDefault="0010644A" w:rsidP="0010644A">
      <w:pPr>
        <w:spacing w:line="360" w:lineRule="auto"/>
        <w:jc w:val="center"/>
        <w:rPr>
          <w:b/>
          <w:kern w:val="28"/>
          <w:sz w:val="28"/>
          <w:szCs w:val="28"/>
        </w:rPr>
      </w:pPr>
      <w:r>
        <w:br w:type="page"/>
      </w:r>
      <w:r w:rsidRPr="00FA31E9">
        <w:rPr>
          <w:b/>
          <w:kern w:val="28"/>
          <w:sz w:val="28"/>
          <w:szCs w:val="28"/>
        </w:rPr>
        <w:t>СПИСОК ИСПОЛЬЗОВАННЫХ ИСТОЧНИКОВ</w:t>
      </w:r>
    </w:p>
    <w:p w:rsidR="0010644A" w:rsidRPr="00C4614A" w:rsidRDefault="0010644A" w:rsidP="0010644A">
      <w:pPr>
        <w:autoSpaceDE w:val="0"/>
        <w:autoSpaceDN w:val="0"/>
        <w:adjustRightInd w:val="0"/>
        <w:spacing w:line="360" w:lineRule="auto"/>
        <w:ind w:firstLine="709"/>
        <w:jc w:val="both"/>
        <w:rPr>
          <w:kern w:val="28"/>
          <w:sz w:val="28"/>
          <w:szCs w:val="28"/>
        </w:rPr>
      </w:pPr>
    </w:p>
    <w:p w:rsidR="001064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Конституция Республики Беларусь. Принята на республиканском референдуме 24 ноября 1996г. / Минск «Беларусь» 1997.</w:t>
      </w:r>
    </w:p>
    <w:p w:rsidR="001064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FA31E9">
        <w:rPr>
          <w:kern w:val="28"/>
          <w:sz w:val="28"/>
          <w:szCs w:val="28"/>
        </w:rPr>
        <w:t>Трудовой кодекс Республики Беларусь, принят Палатой Представителей 8 июня 1999 года. Одобрен Советом республики 30 июня 1999 года. ЮРИДИЧЕСКАЯ СПРАВОЧНО-ИНФОРМАЦИОННАЯ АВТОМАТИЗИРОВАННАЯ СИСТЕМА «ЮСИАС» - 2008г.</w:t>
      </w:r>
    </w:p>
    <w:p w:rsidR="001064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FA31E9">
        <w:rPr>
          <w:bCs/>
          <w:iCs/>
          <w:kern w:val="28"/>
          <w:sz w:val="28"/>
          <w:szCs w:val="28"/>
        </w:rPr>
        <w:t xml:space="preserve">Закон Республики Беларусь «О пенсионом обеспечении» от </w:t>
      </w:r>
      <w:r w:rsidRPr="00FA31E9">
        <w:rPr>
          <w:iCs/>
          <w:kern w:val="28"/>
          <w:sz w:val="28"/>
          <w:szCs w:val="28"/>
        </w:rPr>
        <w:t xml:space="preserve">17 апреля </w:t>
      </w:r>
      <w:smartTag w:uri="urn:schemas-microsoft-com:office:smarttags" w:element="metricconverter">
        <w:smartTagPr>
          <w:attr w:name="ProductID" w:val="1992 г"/>
        </w:smartTagPr>
        <w:r w:rsidRPr="00FA31E9">
          <w:rPr>
            <w:iCs/>
            <w:kern w:val="28"/>
            <w:sz w:val="28"/>
            <w:szCs w:val="28"/>
          </w:rPr>
          <w:t>1992 г</w:t>
        </w:r>
      </w:smartTag>
      <w:r w:rsidRPr="00FA31E9">
        <w:rPr>
          <w:iCs/>
          <w:kern w:val="28"/>
          <w:sz w:val="28"/>
          <w:szCs w:val="28"/>
        </w:rPr>
        <w:t xml:space="preserve">. № 1596-XII. (Ведомости Верховного Совета Республики Беларусь, </w:t>
      </w:r>
      <w:smartTag w:uri="urn:schemas-microsoft-com:office:smarttags" w:element="metricconverter">
        <w:smartTagPr>
          <w:attr w:name="ProductID" w:val="1992 г"/>
        </w:smartTagPr>
        <w:r w:rsidRPr="00FA31E9">
          <w:rPr>
            <w:iCs/>
            <w:kern w:val="28"/>
            <w:sz w:val="28"/>
            <w:szCs w:val="28"/>
          </w:rPr>
          <w:t>1992 г</w:t>
        </w:r>
      </w:smartTag>
      <w:r w:rsidRPr="00FA31E9">
        <w:rPr>
          <w:iCs/>
          <w:kern w:val="28"/>
          <w:sz w:val="28"/>
          <w:szCs w:val="28"/>
        </w:rPr>
        <w:t>., №17, ст. 275)</w:t>
      </w:r>
      <w:r w:rsidRPr="00FA31E9">
        <w:rPr>
          <w:kern w:val="28"/>
          <w:sz w:val="28"/>
          <w:szCs w:val="28"/>
        </w:rPr>
        <w:t>.</w:t>
      </w:r>
      <w:r w:rsidRPr="00FA31E9">
        <w:rPr>
          <w:iCs/>
          <w:kern w:val="28"/>
          <w:sz w:val="28"/>
          <w:szCs w:val="28"/>
        </w:rPr>
        <w:t xml:space="preserve"> </w:t>
      </w:r>
      <w:r w:rsidRPr="00FA31E9">
        <w:rPr>
          <w:kern w:val="28"/>
          <w:sz w:val="28"/>
          <w:szCs w:val="28"/>
        </w:rPr>
        <w:t>ЮРИДИЧЕСКАЯ СПРАВОЧНО-ИНФОРМАЦИОННАЯ АВТОМАТИЗИРОВАННАЯ СИСТЕМА «ЮСИАС» - 2008г.</w:t>
      </w:r>
    </w:p>
    <w:p w:rsidR="0010644A" w:rsidRPr="00FA31E9"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FA31E9">
        <w:rPr>
          <w:bCs/>
          <w:kern w:val="28"/>
          <w:sz w:val="28"/>
          <w:szCs w:val="28"/>
        </w:rPr>
        <w:t xml:space="preserve">Закон Республики Беларусь «О социальной защите инвалидов в Республике Беларусь» от </w:t>
      </w:r>
      <w:r w:rsidRPr="00FA31E9">
        <w:rPr>
          <w:iCs/>
          <w:kern w:val="28"/>
          <w:sz w:val="28"/>
          <w:szCs w:val="28"/>
        </w:rPr>
        <w:t xml:space="preserve">11 ноября 1991г. № 1224-XII. (Ведомости Верховного Совета, </w:t>
      </w:r>
      <w:smartTag w:uri="urn:schemas-microsoft-com:office:smarttags" w:element="metricconverter">
        <w:smartTagPr>
          <w:attr w:name="ProductID" w:val="1991 г"/>
        </w:smartTagPr>
        <w:r w:rsidRPr="00FA31E9">
          <w:rPr>
            <w:iCs/>
            <w:kern w:val="28"/>
            <w:sz w:val="28"/>
            <w:szCs w:val="28"/>
          </w:rPr>
          <w:t>1991 г</w:t>
        </w:r>
      </w:smartTag>
      <w:r w:rsidRPr="00FA31E9">
        <w:rPr>
          <w:iCs/>
          <w:kern w:val="28"/>
          <w:sz w:val="28"/>
          <w:szCs w:val="28"/>
        </w:rPr>
        <w:t xml:space="preserve">., N 34, ст. 611). </w:t>
      </w:r>
      <w:r w:rsidRPr="00FA31E9">
        <w:rPr>
          <w:kern w:val="28"/>
          <w:sz w:val="28"/>
          <w:szCs w:val="28"/>
        </w:rPr>
        <w:t>ЮРИДИЧЕСКАЯ СПРАВОЧНО-ИНФОРМАЦИОННАЯ АВТОМАТИЗИРОВАННАЯ СИСТЕМА «ЮСИАС» - 2008г.</w:t>
      </w:r>
    </w:p>
    <w:p w:rsidR="0010644A" w:rsidRPr="00FA31E9" w:rsidRDefault="0010644A" w:rsidP="0010644A">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Дмитрук В. Н. Трудовое право. / Учебное пособие. – Мн.: Амалфея, 2000.</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bCs/>
          <w:kern w:val="28"/>
          <w:sz w:val="28"/>
          <w:szCs w:val="28"/>
        </w:rPr>
      </w:pPr>
      <w:r w:rsidRPr="00FA31E9">
        <w:rPr>
          <w:kern w:val="28"/>
          <w:sz w:val="28"/>
          <w:szCs w:val="28"/>
        </w:rPr>
        <w:t>Комментарий к Трудовому кодексу Республики Беларусь. Под ред. Василевича Г.А. Издательство</w:t>
      </w:r>
      <w:r w:rsidRPr="00C4614A">
        <w:rPr>
          <w:kern w:val="28"/>
          <w:sz w:val="28"/>
          <w:szCs w:val="28"/>
        </w:rPr>
        <w:t xml:space="preserve"> Амалфея. / 2003. – 1120с.</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В.Н. Артемова, Г.А. Василевич и др.; Под общ. ред. Семенкова В.И. / Мн.; Амалфея, 2001 - 592с.</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Учебник / В.И. Семенков; Под общ. ред. Семенкова В.И. / Мн.; Амалфея, 2002 - 672с.</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и социальное право: Учебник/под общей редакцией В.И. Семенкова. Мн.: Амалфея, 1999.-664с.</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bCs/>
          <w:kern w:val="28"/>
          <w:sz w:val="28"/>
          <w:szCs w:val="28"/>
        </w:rPr>
      </w:pPr>
      <w:r w:rsidRPr="00C4614A">
        <w:rPr>
          <w:kern w:val="28"/>
          <w:sz w:val="28"/>
          <w:szCs w:val="28"/>
        </w:rPr>
        <w:t>Трудовое право Республики Беларусь: Практическое пособие / Важенкова Т.Н. – Мн.: УП «Молодежное», 2003.</w:t>
      </w:r>
    </w:p>
    <w:p w:rsidR="0010644A" w:rsidRPr="00C4614A" w:rsidRDefault="0010644A" w:rsidP="0010644A">
      <w:pPr>
        <w:numPr>
          <w:ilvl w:val="0"/>
          <w:numId w:val="2"/>
        </w:numPr>
        <w:overflowPunct w:val="0"/>
        <w:autoSpaceDE w:val="0"/>
        <w:autoSpaceDN w:val="0"/>
        <w:adjustRightInd w:val="0"/>
        <w:spacing w:line="360" w:lineRule="auto"/>
        <w:ind w:left="0" w:firstLine="709"/>
        <w:jc w:val="both"/>
        <w:rPr>
          <w:kern w:val="28"/>
          <w:sz w:val="28"/>
          <w:szCs w:val="28"/>
        </w:rPr>
      </w:pPr>
      <w:r w:rsidRPr="00C4614A">
        <w:rPr>
          <w:kern w:val="28"/>
          <w:sz w:val="28"/>
          <w:szCs w:val="28"/>
        </w:rPr>
        <w:t>Трудовое право Республики Беларусь, Краткое изложение курса / В.А. Круглов. – Мн.: Дикта 2004. – 75с.</w:t>
      </w:r>
    </w:p>
    <w:p w:rsidR="0010644A" w:rsidRPr="00C4614A" w:rsidRDefault="0010644A" w:rsidP="0010644A">
      <w:pPr>
        <w:spacing w:line="360" w:lineRule="auto"/>
        <w:ind w:firstLine="709"/>
        <w:jc w:val="both"/>
        <w:rPr>
          <w:kern w:val="28"/>
          <w:sz w:val="28"/>
          <w:szCs w:val="28"/>
        </w:rPr>
      </w:pPr>
    </w:p>
    <w:p w:rsidR="00880372" w:rsidRDefault="00880372">
      <w:bookmarkStart w:id="0" w:name="_GoBack"/>
      <w:bookmarkEnd w:id="0"/>
    </w:p>
    <w:sectPr w:rsidR="00880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4C94D52F"/>
    <w:multiLevelType w:val="multilevel"/>
    <w:tmpl w:val="0C3E630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4A"/>
    <w:rsid w:val="0010644A"/>
    <w:rsid w:val="004150C4"/>
    <w:rsid w:val="00576EF7"/>
    <w:rsid w:val="00597A33"/>
    <w:rsid w:val="007819FB"/>
    <w:rsid w:val="00880372"/>
    <w:rsid w:val="00B30B51"/>
    <w:rsid w:val="00B44B90"/>
    <w:rsid w:val="00C4614A"/>
    <w:rsid w:val="00DC070D"/>
    <w:rsid w:val="00F8625D"/>
    <w:rsid w:val="00FA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5EBFE0-BCC9-4DC7-BAFD-78EDA179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4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ИСТОЧНИКИ И РАЗМЕРЫ МАТЕРИАЛЬНОГО ОБЕСПЕЧЕНИЯ РУКОВОДИТЕЛЕЙ ПРАКТИКИ И ПРАКТИКАНТОВ</vt:lpstr>
    </vt:vector>
  </TitlesOfParts>
  <Company>телевидение</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РАЗМЕРЫ МАТЕРИАЛЬНОГО ОБЕСПЕЧЕНИЯ РУКОВОДИТЕЛЕЙ ПРАКТИКИ И ПРАКТИКАНТОВ</dc:title>
  <dc:subject/>
  <dc:creator>Олег</dc:creator>
  <cp:keywords/>
  <dc:description/>
  <cp:lastModifiedBy>admin</cp:lastModifiedBy>
  <cp:revision>2</cp:revision>
  <dcterms:created xsi:type="dcterms:W3CDTF">2014-03-06T07:39:00Z</dcterms:created>
  <dcterms:modified xsi:type="dcterms:W3CDTF">2014-03-06T07:39:00Z</dcterms:modified>
</cp:coreProperties>
</file>