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EF" w:rsidRPr="005908CC" w:rsidRDefault="00EB09EF" w:rsidP="00EB09EF">
      <w:pPr>
        <w:spacing w:before="120"/>
        <w:jc w:val="center"/>
        <w:rPr>
          <w:b/>
          <w:bCs/>
          <w:sz w:val="32"/>
          <w:szCs w:val="32"/>
        </w:rPr>
      </w:pPr>
      <w:r w:rsidRPr="005908CC">
        <w:rPr>
          <w:b/>
          <w:bCs/>
          <w:sz w:val="32"/>
          <w:szCs w:val="32"/>
        </w:rPr>
        <w:t>Источники конституционного права зарубежных стран</w:t>
      </w:r>
    </w:p>
    <w:p w:rsidR="00EB09EF" w:rsidRPr="005908CC" w:rsidRDefault="00EB09EF" w:rsidP="00EB09EF">
      <w:pPr>
        <w:spacing w:before="120"/>
        <w:ind w:firstLine="567"/>
        <w:jc w:val="both"/>
      </w:pPr>
      <w:r w:rsidRPr="005908CC">
        <w:rPr>
          <w:rFonts w:eastAsia="MS Mincho"/>
        </w:rPr>
        <w:t>Источники конституционного (государственного) права чрезвычайно разнообразны по форме и по значению в правовом регулировании осуществления государственной власти. Это определяет сложный, а порою и противоречивый характер самого государственного права.</w:t>
      </w:r>
    </w:p>
    <w:p w:rsidR="00EB09EF" w:rsidRPr="005908CC" w:rsidRDefault="00EB09EF" w:rsidP="00EB09EF">
      <w:pPr>
        <w:spacing w:before="120"/>
        <w:ind w:firstLine="567"/>
        <w:jc w:val="both"/>
      </w:pPr>
      <w:r w:rsidRPr="005908CC">
        <w:t>Источниками конституционного права в зарубежных странах являются нормативные акты, которые содержат нормы, регулирующие конституционно-правовые отношения.</w:t>
      </w:r>
    </w:p>
    <w:p w:rsidR="00EB09EF" w:rsidRPr="005908CC" w:rsidRDefault="00EB09EF" w:rsidP="00EB09EF">
      <w:pPr>
        <w:spacing w:before="120"/>
        <w:ind w:firstLine="567"/>
        <w:jc w:val="both"/>
      </w:pPr>
      <w:r w:rsidRPr="005908CC">
        <w:rPr>
          <w:rFonts w:eastAsia="MS Mincho"/>
        </w:rPr>
        <w:t>Основным источником конституционного (государственного) права являются конституции, но они часто содержат лишь общие положения и обходят молчанием ряд важнейших вопросов государственной жизни, тем самым оставляя их решение на усмотрение правительства и администрации. Именно такой характер носит конституция США 1787 года. Наряду с этим конституции многих стран перегружены рядом мелочей и второстепенных деталей. Достаточно сослаться на ст. 25-бис конституции Швейцарии, которая запрещает "выпускать кровь у мясного скота, не оглушив его предварительно". Конституционные нормы не охватывают всего многообразия отношений, складывающихся в процессе осуществления государственной власти, и дополняются целым рядом других нормативных актов.</w:t>
      </w:r>
      <w:r w:rsidRPr="005908CC">
        <w:rPr>
          <w:rFonts w:eastAsia="MS Mincho"/>
        </w:rPr>
        <w:footnoteReference w:id="1"/>
      </w:r>
      <w:r w:rsidRPr="005908CC">
        <w:rPr>
          <w:rFonts w:eastAsia="MS Mincho"/>
        </w:rPr>
        <w:t>[1]</w:t>
      </w:r>
    </w:p>
    <w:p w:rsidR="00EB09EF" w:rsidRPr="005908CC" w:rsidRDefault="00EB09EF" w:rsidP="00EB09EF">
      <w:pPr>
        <w:spacing w:before="120"/>
        <w:ind w:firstLine="567"/>
        <w:jc w:val="both"/>
      </w:pPr>
      <w:r w:rsidRPr="005908CC">
        <w:t>Однако в подавляющем большинстве стран (исключение составляют некоторые мусульманские государства) главным источником данной отрасли права все-таки служит конституция — основной закон. Она обладает наибольшей юридической силой. Все остальные нормы права должны не вступать в противоречие с конституционными нормами, в противном случае они теряют свою силу. При этом, конституционный характер могут носить не только нормы, изданные государством, но и нормы обычаев (например, в Великобритании), религиозно-правовые нормы (например, в Саудовской Аравии, Израиле).</w:t>
      </w:r>
    </w:p>
    <w:p w:rsidR="00EB09EF" w:rsidRPr="005908CC" w:rsidRDefault="00EB09EF" w:rsidP="00EB09EF">
      <w:pPr>
        <w:spacing w:before="120"/>
        <w:ind w:firstLine="567"/>
        <w:jc w:val="both"/>
      </w:pPr>
      <w:r w:rsidRPr="005908CC">
        <w:t>К другим источникам относятся:</w:t>
      </w:r>
    </w:p>
    <w:p w:rsidR="00EB09EF" w:rsidRPr="005908CC" w:rsidRDefault="00EB09EF" w:rsidP="00EB09EF">
      <w:pPr>
        <w:spacing w:before="120"/>
        <w:ind w:firstLine="567"/>
        <w:jc w:val="both"/>
      </w:pPr>
      <w:r w:rsidRPr="005908CC">
        <w:t>1)</w:t>
      </w:r>
      <w:r>
        <w:t xml:space="preserve"> </w:t>
      </w:r>
      <w:r w:rsidRPr="005908CC">
        <w:t xml:space="preserve">законы : </w:t>
      </w:r>
    </w:p>
    <w:p w:rsidR="00EB09EF" w:rsidRPr="005908CC" w:rsidRDefault="00EB09EF" w:rsidP="00EB09EF">
      <w:pPr>
        <w:spacing w:before="120"/>
        <w:ind w:firstLine="567"/>
        <w:jc w:val="both"/>
      </w:pPr>
      <w:r w:rsidRPr="005908CC">
        <w:t xml:space="preserve">Конституционные - вносят изменения в конституцию или дополняют ее; </w:t>
      </w:r>
      <w:r w:rsidRPr="005908CC">
        <w:rPr>
          <w:rFonts w:eastAsia="MS Mincho"/>
        </w:rPr>
        <w:t xml:space="preserve">они не являются составными частями конституции, но регулируют важнейшие государственно-правовые вопросы. Это законы об избирательном праве и избирательной системе, о полномочиях правительств и парламентов, о правовом положении личности, о порядке введения чрезвычайного положения. В качестве примера конституционных законов можно привести акт о свободе печати 1949 года в Швеции, акты о гражданских правах 1957, 1960, 1964 и 1969 годов, а также законы об избирательных правах 1965 и 1970 годов в США, закон о политических партиях Испании 1978 года (дополнен в 1981 году) и ряд других. </w:t>
      </w:r>
      <w:r w:rsidRPr="005908CC">
        <w:t>В некоторых же странах нет особой категории конституционных законов. Конституционными законами в таких странах, по существу, являются акты, которыми вносятся поправки к конституции. В Конституции Румынии 1991 г. (ст. 72), например, так и говорится: "Конституционный закон – это закон о пересмотре Конституции". Но конституционные законы в таких странах, как правило, не представляют собой каких-либо законов, действующих наряду с Конституцией. В них закрепляется новая редакция тех или иных статей, вводятся новые положения или упраздняются действующие. Однако новая редакция статей или вообще новые статьи затем обычно инкорпорируются в текст Основного закона. Даже в США, где поправки не влекут за собой изменения формулировок первоначального текста, а записываются после основного текста Конституции в хронологическом порядке, эти поправки рассматриваются в качестве интегральной части Конституции. В отдельных странах конституционными законами называются акты, в совокупности составляющие конституцию страны. В такой стране никакой иной конституции, кроме совокупности конституционных законов, не существует, поэтому конституционные законы обладают наивысшей юридической силой.</w:t>
      </w:r>
      <w:r w:rsidRPr="005908CC">
        <w:footnoteReference w:id="2"/>
      </w:r>
      <w:r w:rsidRPr="005908CC">
        <w:t>[2]</w:t>
      </w:r>
    </w:p>
    <w:p w:rsidR="00EB09EF" w:rsidRPr="005908CC" w:rsidRDefault="00EB09EF" w:rsidP="00EB09EF">
      <w:pPr>
        <w:spacing w:before="120"/>
        <w:ind w:firstLine="567"/>
        <w:jc w:val="both"/>
      </w:pPr>
      <w:r w:rsidRPr="005908CC">
        <w:t xml:space="preserve">Органические - принимаются в усложненном порядке и обычно регулируют какой-либо институт конституционного права в целом. Они, как правило, обладают большей юридической силой, чем простые законы, но меньшей, чем конституции. Органические законы принимаются в соответствии с усложненной по сравнению с простыми законами процедурой и касаются каких-либо наиболее важных вопросов. В ряде стран органическими законами признаются такие законы, необходимость принятия которых предусмотрена Конституцией. </w:t>
      </w:r>
      <w:r w:rsidRPr="005908CC">
        <w:rPr>
          <w:rFonts w:eastAsia="MS Mincho"/>
        </w:rPr>
        <w:t>Особенно богата такими бланкетными нормами конституция Франции 1958 года. Например, конституция устанавливает, что органический закон определяет длительность полномочий каждой палаты, число ее членов, их вознаграждение, условия их избрания, режим неизбираемости и недопустимости совмещений (ст. 25), что "парламент принимает финансовые законопроекты с соблюдением условий, предусмотренных органическим законом" (ст. 47) и т. д. Таких бланкетных норм во французской конституции насчитывается около двадцати.</w:t>
      </w:r>
    </w:p>
    <w:p w:rsidR="00EB09EF" w:rsidRPr="005908CC" w:rsidRDefault="00EB09EF" w:rsidP="00EB09EF">
      <w:pPr>
        <w:spacing w:before="120"/>
        <w:ind w:firstLine="567"/>
        <w:jc w:val="both"/>
      </w:pPr>
      <w:r w:rsidRPr="005908CC">
        <w:t xml:space="preserve">Обыкновенные - регулируют отдельные вопросы, например закон о выборах президента. </w:t>
      </w:r>
      <w:r w:rsidRPr="005908CC">
        <w:rPr>
          <w:rFonts w:eastAsia="MS Mincho"/>
        </w:rPr>
        <w:t>Важнейшие нормы государственного права содержатся и в обычных парламентских законах, которые иногда вступают в противоречие с конституцией.. В качестве примера можно сослаться на законы Смита, Маккарена - Вуда, закон о контроле над коммунистической деятельностью в США, которые представляли собой прямое нарушение конституции (их действие впоследствии было прекращено).</w:t>
      </w:r>
      <w:r w:rsidRPr="005908CC">
        <w:rPr>
          <w:rFonts w:eastAsia="MS Mincho"/>
        </w:rPr>
        <w:footnoteReference w:id="3"/>
      </w:r>
      <w:r w:rsidRPr="005908CC">
        <w:rPr>
          <w:rFonts w:eastAsia="MS Mincho"/>
        </w:rPr>
        <w:t>[3]</w:t>
      </w:r>
    </w:p>
    <w:p w:rsidR="00EB09EF" w:rsidRPr="005908CC" w:rsidRDefault="00EB09EF" w:rsidP="00EB09EF">
      <w:pPr>
        <w:spacing w:before="120"/>
        <w:ind w:firstLine="567"/>
        <w:jc w:val="both"/>
      </w:pPr>
      <w:r w:rsidRPr="005908CC">
        <w:t xml:space="preserve">Чрезвычайные - согласно самой конституции, эти законы могут отступать от ее положений, но принимаются только на короткий срок, обычно на несколько месяцев, хотя и с правом парламента продлить этот срок. </w:t>
      </w:r>
      <w:r w:rsidRPr="005908CC">
        <w:rPr>
          <w:rFonts w:eastAsia="MS Mincho"/>
        </w:rPr>
        <w:t>Таковы указы и декреты о введении чрезвычайного положения, которые, как правило, сопровождаются прекращением действия конституционных прав и свобод, конституционных и процессуальных гарантий неприкосновенности личности и имущества граждан и подданных.</w:t>
      </w:r>
    </w:p>
    <w:p w:rsidR="00EB09EF" w:rsidRPr="005908CC" w:rsidRDefault="00EB09EF" w:rsidP="00EB09EF">
      <w:pPr>
        <w:spacing w:before="120"/>
        <w:ind w:firstLine="567"/>
        <w:jc w:val="both"/>
      </w:pPr>
      <w:r w:rsidRPr="005908CC">
        <w:t>Высшие законодательные органы в ряде стран вправе делегировать свои полномочия в данной области другим органам. В таком случае эти последние могут издавать акты, имеющие силу закона, хотя, как правило, они называются несколько иначе, чем просто закон. Так, во многих странах Западной Европы парламенты имеют право передавать законодательные полномочия в определенных сферах правительствам своих стран. Правительства одобряют декреты-законы, приравниваемые по юридической силе к законам.</w:t>
      </w:r>
    </w:p>
    <w:p w:rsidR="00EB09EF" w:rsidRPr="005908CC" w:rsidRDefault="00EB09EF" w:rsidP="00EB09EF">
      <w:pPr>
        <w:spacing w:before="120"/>
        <w:ind w:firstLine="567"/>
        <w:jc w:val="both"/>
      </w:pPr>
      <w:r w:rsidRPr="005908CC">
        <w:t>2) внутригосударственные публично-правовые договоры (например, национальный пакт 1943 г. в Ливане о распределении высших государственных должностей между приверженцами разных религий, соглашение о разделении Чехо-Словакии с 1 января 1993 г. на Чехию и Словакию, Конституционное соглашение между президентом и парламентом Украины 1995 г.. Конституционный договор 1996 г. между Молдавией и самопровозглашенной Приднестровской республикой о том, что последняя остается республикой в составе Молдавии).</w:t>
      </w:r>
    </w:p>
    <w:p w:rsidR="00EB09EF" w:rsidRPr="005908CC" w:rsidRDefault="00EB09EF" w:rsidP="00EB09EF">
      <w:pPr>
        <w:spacing w:before="120"/>
        <w:ind w:firstLine="567"/>
        <w:jc w:val="both"/>
      </w:pPr>
      <w:r w:rsidRPr="005908CC">
        <w:t>3) регламенты парламентов и их палат, устанавливающие внутреннюю организацию и процедуру работы парламентов. Они принимаются либо в форме постановлений каждой палаты для себя и не требуют одобрения другой палаты (Германия), либо в форме закона при однопалатном парламенте (Китай).</w:t>
      </w:r>
    </w:p>
    <w:p w:rsidR="00EB09EF" w:rsidRPr="005908CC" w:rsidRDefault="00EB09EF" w:rsidP="00EB09EF">
      <w:pPr>
        <w:spacing w:before="120"/>
        <w:ind w:firstLine="567"/>
        <w:jc w:val="both"/>
      </w:pPr>
      <w:r w:rsidRPr="005908CC">
        <w:t>4) акты главы государства и исполнительной власти (указы монархов, декреты президентов, постановления правительства, акты министров, некоторых ведомств, например постановления центральной избирательной комиссии о порядке составления списков избирателей). Особая роль среди актов исполнительной власти принадлежит актам, имеющим силу закона (они издаются на основе рассматриваемого ниже делегирования полномочий парламентом (как, например, в Великобритании), или на основе принадлежащей по конституциям правительству регламентарной власти (Италия), или в соответствии с исключительными полномочиями президента (Франция).</w:t>
      </w:r>
    </w:p>
    <w:p w:rsidR="00EB09EF" w:rsidRPr="005908CC" w:rsidRDefault="00EB09EF" w:rsidP="00EB09EF">
      <w:pPr>
        <w:spacing w:before="120"/>
        <w:ind w:firstLine="567"/>
        <w:jc w:val="both"/>
      </w:pPr>
      <w:r w:rsidRPr="005908CC">
        <w:t>5) акты органов конституционного контроля (конституционных судов, конституционных советов и др.), которые дают официальные толкования конституции, признают те или иные законы соответствующими или не соответствующими конституции.</w:t>
      </w:r>
    </w:p>
    <w:p w:rsidR="00EB09EF" w:rsidRPr="005908CC" w:rsidRDefault="00EB09EF" w:rsidP="00EB09EF">
      <w:pPr>
        <w:spacing w:before="120"/>
        <w:ind w:firstLine="567"/>
        <w:jc w:val="both"/>
      </w:pPr>
      <w:r w:rsidRPr="005908CC">
        <w:t>6) судебные прецеденты.</w:t>
      </w:r>
      <w:r>
        <w:t xml:space="preserve"> </w:t>
      </w:r>
      <w:r w:rsidRPr="005908CC">
        <w:rPr>
          <w:rFonts w:eastAsia="MS Mincho"/>
        </w:rPr>
        <w:t xml:space="preserve">Значительное место в государственном праве зарубежных стран занимают судебные прецеденты, т.е. ранее вынесенные решения судов, принимаемые за обязательный образец при решении аналогичных вопросов в дальнейшем. Судебные прецеденты играют важную роль в регулировании правового положения личности и порядка осуществления и защиты демократических прав и свобод. Наиболее широкое распространение судебные прецеденты получили в Великобритании и ряде других англосаксонских стран. До сих пор множество важнейших государственно-правовых вопросов решается на основе судебных прецедентов, сложившихся двести, триста и более лет назад. </w:t>
      </w:r>
      <w:r w:rsidRPr="005908CC">
        <w:t>В некоторых странах судебные прецеденты не признаются источниками права, т.е., по существу, не являются прецедентами. Во Франции Гражданский кодекс запрещает судам формулировать нормы права, но они делают это, особенно в области административного права; такие нормы создает и конституционный совет, в частности по вопросу о правах личности.</w:t>
      </w:r>
    </w:p>
    <w:p w:rsidR="00EB09EF" w:rsidRPr="005908CC" w:rsidRDefault="00EB09EF" w:rsidP="00EB09EF">
      <w:pPr>
        <w:spacing w:before="120"/>
        <w:ind w:firstLine="567"/>
        <w:jc w:val="both"/>
      </w:pPr>
      <w:r w:rsidRPr="005908CC">
        <w:t xml:space="preserve">7) конституционный обычай. </w:t>
      </w:r>
      <w:r w:rsidRPr="005908CC">
        <w:rPr>
          <w:rFonts w:eastAsia="MS Mincho"/>
        </w:rPr>
        <w:t>Во многих странах, особенно англосаксонских, а также в странах, воспринявших основы англосаксонской правовой системы, важнейшие вопросы государственной жизни регулируются обычаями (в литературе они называются конституционными соглашениями или конвенционными нормами). Конституционные обычаи, а также многочисленные правила, принципы и приемы решения различных государственно-правовых вопросов не закреплены в нормативных актах и не обеспечиваются судебной защитой, но они тем не менее регулируют правовое положение многих государственных органов и фактически определяют их роль и значение в механизме государства. Так, во многих конституциях и иных юридических источниках не содержится положение о том, что правительство образуется лидером партии или партийной коалиции, победившей на парламентских выборах. Однако этот обычай почти всегда соблюдается в парламентарных странах в условиях демократического политического режима. Обычаями регулируется порядок осуществления прерогатив конституционного монарха и полномочий президента, формирование правительства, роль премьер-министра, многие вопросы законодательной процедуры и т.д. Практическая роль обычаев настолько велика, что игнорировать их при изучении государственного права зарубежных стран невозможно.</w:t>
      </w:r>
    </w:p>
    <w:p w:rsidR="00EB09EF" w:rsidRPr="005908CC" w:rsidRDefault="00EB09EF" w:rsidP="00EB09EF">
      <w:pPr>
        <w:spacing w:before="120"/>
        <w:ind w:firstLine="567"/>
        <w:jc w:val="both"/>
      </w:pPr>
      <w:r w:rsidRPr="005908CC">
        <w:t>8) религиозные источники, особенно в монархических государствах с феодальными и родовыми пережитками, в частности по вопросу о престолонаследии. В единичных мусульманских странах конституцию заменяет Коран — священная книга, содержащая, по преданию, записи проповедей пророка Мухаммеда, в других же Коран считается актом, стоящим выше конституции.</w:t>
      </w:r>
    </w:p>
    <w:p w:rsidR="00EB09EF" w:rsidRPr="005908CC" w:rsidRDefault="00EB09EF" w:rsidP="00EB09EF">
      <w:pPr>
        <w:spacing w:before="120"/>
        <w:ind w:firstLine="567"/>
        <w:jc w:val="both"/>
      </w:pPr>
      <w:r w:rsidRPr="005908CC">
        <w:t>9) правовая доктрина. Редко и лишь в отдельных странах суды основывают свои решения по конституционным вопросам не только на правовых актах, но и на трудах выдающихся юристов, специалистов по конституционному праву.</w:t>
      </w:r>
      <w:r w:rsidRPr="005908CC">
        <w:rPr>
          <w:rFonts w:eastAsia="MS Mincho"/>
        </w:rPr>
        <w:t xml:space="preserve"> Акты, издаваемые в порядке толкования конституционных норм и законов также могут быть названы в числе источников государственного права зарубежных стран. В англосаксонских и многих других странах акты толкования законов являются широко распространенными источниками права. Толкование законов осуществляется либо главой государства, либо судами. Предметом толкования могут быть как отдельные статьи конституции, так и положения конституционных, органических и обычных парламентских законов, содержащих в себе нормы государственного права. Толкование законов может серьезно влиять на правовую систему. Достаточно сослаться на государственную практику США, где произвольное толкование президентом актов конгресса порой становится одной из разновидностей нормоустанавливающей деятельности исполнительной власти. В зарубежной юридической литературе встречаются утверждения, что источниками конституционного (государственного) права являются мнения и высказывания выдающихся ученых-государствоведов. Эта концепция особенно широкое распространение получила в Великобритании, где в качестве доктринальных источников права иногда рассматриваются труды Блэкстона, Беджгота, Мэя, Лоу и некоторых других канонизированных авторов.</w:t>
      </w:r>
    </w:p>
    <w:p w:rsidR="00EB09EF" w:rsidRPr="005908CC" w:rsidRDefault="00EB09EF" w:rsidP="00EB09EF">
      <w:pPr>
        <w:spacing w:before="120"/>
        <w:ind w:firstLine="567"/>
        <w:jc w:val="both"/>
      </w:pPr>
      <w:r w:rsidRPr="005908CC">
        <w:t>10) международно-правовые акты, например Европейская конвенция о правах человека 1950 г. Договор ФРГ и ГДР о процедуре объединения Германии и проведении выборов в парламент 1990 г., Маастрихтский договор 1992 г. о Европейском союзе, предусматривающий наряду с национальным гражданством единое европейское гражданство в государствах-членах. В некоторых конституциях содержатся ссылки на важнейшие международные акты, например на Всеобщую декларацию прав человека 1948 г., принятую ООН, Международные пакты об экономических, социальных и культурных правах и о гражданских и политических правах, принятые в 1966 г. и вступившие в силу после необходимого числа ратификаций в 1976 г. (далее — Международные пакты о правах человека).</w:t>
      </w:r>
    </w:p>
    <w:p w:rsidR="00EB09EF" w:rsidRPr="005908CC" w:rsidRDefault="00EB09EF" w:rsidP="00EB09EF">
      <w:pPr>
        <w:spacing w:before="120"/>
        <w:ind w:firstLine="567"/>
        <w:jc w:val="both"/>
      </w:pPr>
      <w:r w:rsidRPr="005908CC">
        <w:t>На локальном уровне — в субъектах федерации, автономных образованиях — действуют свои источники конституционного права (например, конституции штатов в США, конституция Занзибара в Танзании, конституция Автономной Республики Крым на Украине). В городах нередко имеются свои городские уставы, хартии городов, регулирующие местное самоуправление.</w:t>
      </w:r>
    </w:p>
    <w:p w:rsidR="00EB09EF" w:rsidRDefault="00EB09EF" w:rsidP="00EB09EF">
      <w:pPr>
        <w:spacing w:before="120"/>
        <w:ind w:firstLine="567"/>
        <w:jc w:val="both"/>
      </w:pPr>
      <w:r w:rsidRPr="005908CC">
        <w:t>Во многих развивающихся странах актами, регулирующими принципиальные вопросы (например, реорганизацию федерации в Нигерии, изменение формы правления в Эфиопии), были акты военных и революционных советов — временных органов власти, создававшихся после очередного военного переворота (декреты, прокламации и т.д.). Иногда важнейшее конституционное (и даже надконституционное) значение имели национальные хартии (Алжир), революционные хартии (Мадагаскар), акты правящих (единственных) партий (Конго, Заир и др.).</w:t>
      </w:r>
      <w:r w:rsidRPr="005908CC">
        <w:footnoteReference w:id="4"/>
      </w:r>
      <w:r w:rsidRPr="005908CC">
        <w:t>[4]</w:t>
      </w:r>
      <w:r>
        <w:t xml:space="preserve"> </w:t>
      </w:r>
    </w:p>
    <w:p w:rsidR="00EB09EF" w:rsidRPr="005908CC" w:rsidRDefault="00EB09EF" w:rsidP="00EB09EF">
      <w:pPr>
        <w:spacing w:before="120"/>
        <w:jc w:val="center"/>
        <w:rPr>
          <w:b/>
          <w:bCs/>
          <w:sz w:val="28"/>
          <w:szCs w:val="28"/>
        </w:rPr>
      </w:pPr>
      <w:r w:rsidRPr="005908CC">
        <w:rPr>
          <w:b/>
          <w:bCs/>
          <w:sz w:val="28"/>
          <w:szCs w:val="28"/>
        </w:rPr>
        <w:t xml:space="preserve">Список литературы </w:t>
      </w:r>
    </w:p>
    <w:p w:rsidR="00EB09EF" w:rsidRPr="005908CC" w:rsidRDefault="00EB09EF" w:rsidP="00EB09EF">
      <w:pPr>
        <w:spacing w:before="120"/>
        <w:ind w:firstLine="567"/>
        <w:jc w:val="both"/>
      </w:pPr>
      <w:r w:rsidRPr="005908CC">
        <w:t>Мишин А.А. Конституционное право зарубежных стран.</w:t>
      </w:r>
      <w:r w:rsidRPr="005908CC">
        <w:rPr>
          <w:rFonts w:eastAsia="MS Mincho"/>
        </w:rPr>
        <w:t xml:space="preserve"> Учебник. - М.: Белые альвы, 1996. </w:t>
      </w:r>
    </w:p>
    <w:p w:rsidR="00EB09EF" w:rsidRPr="005908CC" w:rsidRDefault="00EB09EF" w:rsidP="00EB09EF">
      <w:pPr>
        <w:spacing w:before="120"/>
        <w:ind w:firstLine="567"/>
        <w:jc w:val="both"/>
      </w:pPr>
      <w:r w:rsidRPr="005908CC">
        <w:t xml:space="preserve">Автономов А.С. Правовая онтология политики - М.: 1999 г. </w:t>
      </w:r>
    </w:p>
    <w:p w:rsidR="00EB09EF" w:rsidRPr="005908CC" w:rsidRDefault="00EB09EF" w:rsidP="00EB09EF">
      <w:pPr>
        <w:spacing w:before="120"/>
        <w:ind w:firstLine="567"/>
        <w:jc w:val="both"/>
      </w:pPr>
      <w:r w:rsidRPr="005908CC">
        <w:t xml:space="preserve">Чиркин В.Е. Конституционное право зарубежных стран. – М.: Юристъ, 1997. </w:t>
      </w:r>
    </w:p>
    <w:p w:rsidR="00EB09EF" w:rsidRPr="005908CC" w:rsidRDefault="002B4A58" w:rsidP="00EB09EF">
      <w:pPr>
        <w:spacing w:before="120"/>
        <w:ind w:firstLine="567"/>
        <w:jc w:val="both"/>
      </w:pPr>
      <w:r>
        <w:pict>
          <v:rect id="_x0000_i1025" style="width:159.1pt;height:.75pt" o:hrpct="330" o:hrstd="t" o:hr="t" fillcolor="gray" stroked="f"/>
        </w:pic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CD9" w:rsidRDefault="00D14CD9">
      <w:r>
        <w:separator/>
      </w:r>
    </w:p>
  </w:endnote>
  <w:endnote w:type="continuationSeparator" w:id="0">
    <w:p w:rsidR="00D14CD9" w:rsidRDefault="00D1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CD9" w:rsidRDefault="00D14CD9">
      <w:r>
        <w:separator/>
      </w:r>
    </w:p>
  </w:footnote>
  <w:footnote w:type="continuationSeparator" w:id="0">
    <w:p w:rsidR="00D14CD9" w:rsidRDefault="00D14CD9">
      <w:r>
        <w:continuationSeparator/>
      </w:r>
    </w:p>
  </w:footnote>
  <w:footnote w:id="1">
    <w:p w:rsidR="00D14CD9" w:rsidRDefault="00EB09EF" w:rsidP="00EB09EF">
      <w:pPr>
        <w:pStyle w:val="a5"/>
      </w:pPr>
      <w:r>
        <w:footnoteRef/>
      </w:r>
      <w:r>
        <w:rPr>
          <w:rStyle w:val="a4"/>
        </w:rPr>
        <w:t>[1]</w:t>
      </w:r>
      <w:r>
        <w:t xml:space="preserve"> Мишин А.А. Конституционное право зарубежных стран.</w:t>
      </w:r>
      <w:r>
        <w:rPr>
          <w:rFonts w:eastAsia="MS Mincho"/>
        </w:rPr>
        <w:t xml:space="preserve"> Учебник. - М.: Белые альвы, 1996 -</w:t>
      </w:r>
      <w:r>
        <w:t xml:space="preserve"> </w:t>
      </w:r>
      <w:r>
        <w:rPr>
          <w:lang w:val="en-US"/>
        </w:rPr>
        <w:t>c</w:t>
      </w:r>
      <w:r>
        <w:t>.10.</w:t>
      </w:r>
    </w:p>
  </w:footnote>
  <w:footnote w:id="2">
    <w:p w:rsidR="00D14CD9" w:rsidRDefault="00EB09EF" w:rsidP="00EB09EF">
      <w:pPr>
        <w:pStyle w:val="a5"/>
      </w:pPr>
      <w:r>
        <w:footnoteRef/>
      </w:r>
      <w:r>
        <w:rPr>
          <w:rStyle w:val="a4"/>
        </w:rPr>
        <w:t>[2]</w:t>
      </w:r>
      <w:r>
        <w:t xml:space="preserve"> Автономов А.С. Правовая онтология политики - М.: 1999 г. – с.51.</w:t>
      </w:r>
    </w:p>
  </w:footnote>
  <w:footnote w:id="3">
    <w:p w:rsidR="00D14CD9" w:rsidRDefault="00EB09EF" w:rsidP="00EB09EF">
      <w:pPr>
        <w:pStyle w:val="a5"/>
      </w:pPr>
      <w:r>
        <w:footnoteRef/>
      </w:r>
      <w:r>
        <w:rPr>
          <w:rStyle w:val="a4"/>
        </w:rPr>
        <w:t>[3]</w:t>
      </w:r>
      <w:r>
        <w:t xml:space="preserve"> Мишин А.А. Конституционное право зарубежных стран.</w:t>
      </w:r>
      <w:r>
        <w:rPr>
          <w:rFonts w:eastAsia="MS Mincho"/>
        </w:rPr>
        <w:t xml:space="preserve"> Учебник. - М.: Белые альвы, 1996 -</w:t>
      </w:r>
      <w:r>
        <w:t xml:space="preserve"> </w:t>
      </w:r>
      <w:r>
        <w:rPr>
          <w:lang w:val="en-US"/>
        </w:rPr>
        <w:t>c</w:t>
      </w:r>
      <w:r>
        <w:t>.11</w:t>
      </w:r>
    </w:p>
  </w:footnote>
  <w:footnote w:id="4">
    <w:p w:rsidR="00D14CD9" w:rsidRDefault="00EB09EF" w:rsidP="00EB09EF">
      <w:pPr>
        <w:pStyle w:val="a5"/>
      </w:pPr>
      <w:r>
        <w:footnoteRef/>
      </w:r>
      <w:r>
        <w:rPr>
          <w:rStyle w:val="a4"/>
        </w:rPr>
        <w:t>[4]</w:t>
      </w:r>
      <w:r>
        <w:t xml:space="preserve"> Чиркин В.Е. Конституционное право зарубежных стран. – М.: Юристъ, 1997. – </w:t>
      </w:r>
      <w:r>
        <w:rPr>
          <w:lang w:val="en-US"/>
        </w:rPr>
        <w:t>c</w:t>
      </w:r>
      <w:r>
        <w:t>.17.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9EF"/>
    <w:rsid w:val="00002B5A"/>
    <w:rsid w:val="0010437E"/>
    <w:rsid w:val="002B4A58"/>
    <w:rsid w:val="005908CC"/>
    <w:rsid w:val="00616072"/>
    <w:rsid w:val="006A5004"/>
    <w:rsid w:val="00710178"/>
    <w:rsid w:val="008B35EE"/>
    <w:rsid w:val="00905CC1"/>
    <w:rsid w:val="00A354F1"/>
    <w:rsid w:val="00B4156B"/>
    <w:rsid w:val="00B42C45"/>
    <w:rsid w:val="00B47B6A"/>
    <w:rsid w:val="00C70710"/>
    <w:rsid w:val="00D14CD9"/>
    <w:rsid w:val="00EB0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9B0D955-6325-4AE8-B708-D577422F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9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B09EF"/>
    <w:rPr>
      <w:color w:val="0000FF"/>
      <w:u w:val="single"/>
    </w:rPr>
  </w:style>
  <w:style w:type="character" w:styleId="a4">
    <w:name w:val="footnote reference"/>
    <w:uiPriority w:val="99"/>
    <w:rsid w:val="00EB09EF"/>
  </w:style>
  <w:style w:type="paragraph" w:styleId="a5">
    <w:name w:val="footnote text"/>
    <w:basedOn w:val="a"/>
    <w:link w:val="a6"/>
    <w:uiPriority w:val="99"/>
    <w:rsid w:val="00EB09EF"/>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Источники конституционного права зарубежных стран</vt:lpstr>
    </vt:vector>
  </TitlesOfParts>
  <Company>Home</Company>
  <LinksUpToDate>false</LinksUpToDate>
  <CharactersWithSpaces>13532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Источники конституционного права зарубежных стран</dc:title>
  <dc:subject/>
  <dc:creator>User</dc:creator>
  <cp:keywords/>
  <dc:description/>
  <cp:lastModifiedBy>admin</cp:lastModifiedBy>
  <cp:revision>2</cp:revision>
  <dcterms:created xsi:type="dcterms:W3CDTF">2014-02-15T03:29:00Z</dcterms:created>
  <dcterms:modified xsi:type="dcterms:W3CDTF">2014-02-15T03:29:00Z</dcterms:modified>
</cp:coreProperties>
</file>