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BA9" w:rsidRDefault="008C6BA9">
      <w:pPr>
        <w:pStyle w:val="1"/>
      </w:pPr>
      <w:r>
        <w:t>Источники налогового права</w:t>
      </w:r>
    </w:p>
    <w:p w:rsidR="008C6BA9" w:rsidRDefault="008C6BA9"/>
    <w:p w:rsidR="008C6BA9" w:rsidRDefault="008C6BA9">
      <w:r>
        <w:t xml:space="preserve">Источники налогового права – нормативно-правовые акты, в которых содержатся нормы налогового права. </w:t>
      </w:r>
    </w:p>
    <w:p w:rsidR="008C6BA9" w:rsidRDefault="008C6BA9">
      <w:r>
        <w:t xml:space="preserve">К ним относятся: </w:t>
      </w:r>
    </w:p>
    <w:p w:rsidR="008C6BA9" w:rsidRDefault="008C6BA9">
      <w:pPr>
        <w:pStyle w:val="a"/>
      </w:pPr>
      <w:r>
        <w:t xml:space="preserve">международные договоры; </w:t>
      </w:r>
    </w:p>
    <w:p w:rsidR="008C6BA9" w:rsidRDefault="008C6BA9">
      <w:pPr>
        <w:pStyle w:val="a"/>
      </w:pPr>
      <w:r>
        <w:t xml:space="preserve">Конституционные законы; </w:t>
      </w:r>
    </w:p>
    <w:p w:rsidR="008C6BA9" w:rsidRDefault="008C6BA9">
      <w:pPr>
        <w:pStyle w:val="a"/>
      </w:pPr>
      <w:r>
        <w:t xml:space="preserve">общие законы и законы о конкретных налогах; </w:t>
      </w:r>
    </w:p>
    <w:p w:rsidR="008C6BA9" w:rsidRDefault="008C6BA9">
      <w:pPr>
        <w:pStyle w:val="a"/>
      </w:pPr>
      <w:r>
        <w:t xml:space="preserve">подзаконные нормативно правовые акты; </w:t>
      </w:r>
    </w:p>
    <w:p w:rsidR="008C6BA9" w:rsidRDefault="008C6BA9">
      <w:pPr>
        <w:pStyle w:val="a"/>
      </w:pPr>
      <w:r>
        <w:t xml:space="preserve">судебные решения. </w:t>
      </w:r>
    </w:p>
    <w:p w:rsidR="008C6BA9" w:rsidRDefault="008C6BA9">
      <w:r>
        <w:t xml:space="preserve">Особое место в системе источников налогового права занимает Конституция, в которой содержатся нормы, напрямую регулирующие налоговые отношения (ст.57). </w:t>
      </w:r>
    </w:p>
    <w:p w:rsidR="008C6BA9" w:rsidRDefault="008C6BA9">
      <w:pPr>
        <w:pStyle w:val="2"/>
      </w:pPr>
    </w:p>
    <w:p w:rsidR="008C6BA9" w:rsidRDefault="008C6BA9">
      <w:pPr>
        <w:pStyle w:val="2"/>
      </w:pPr>
      <w:r>
        <w:t>Международные договоры и соглашения по вопросам налогообложения</w:t>
      </w:r>
    </w:p>
    <w:p w:rsidR="008C6BA9" w:rsidRDefault="008C6BA9"/>
    <w:p w:rsidR="008C6BA9" w:rsidRDefault="008C6BA9">
      <w:r>
        <w:t xml:space="preserve">К источникам международного налогового права относятся национальное законодательство и международное соглашения (Директива ЕС "О введении единого НДС", Соглашение "Об устранении двойного налогообложения платежей по авторским правам", торговые договоры). </w:t>
      </w:r>
    </w:p>
    <w:p w:rsidR="008C6BA9" w:rsidRDefault="008C6BA9">
      <w:r>
        <w:t xml:space="preserve">Налоговый кодекс – единый законодательный акт, систематизирующий сферу налогового права и закрепляющий основополагающие принципы налогообложения в России. </w:t>
      </w:r>
    </w:p>
    <w:p w:rsidR="008C6BA9" w:rsidRDefault="008C6BA9">
      <w:r>
        <w:t xml:space="preserve">Он состоит из 2 частей: </w:t>
      </w:r>
    </w:p>
    <w:p w:rsidR="008C6BA9" w:rsidRDefault="008C6BA9">
      <w:pPr>
        <w:pStyle w:val="a"/>
      </w:pPr>
      <w:r>
        <w:t xml:space="preserve">часть </w:t>
      </w:r>
      <w:r>
        <w:rPr>
          <w:lang w:val="en-US"/>
        </w:rPr>
        <w:t>I</w:t>
      </w:r>
      <w:r>
        <w:t xml:space="preserve"> (01.01. 1999 г) в этой части установлены и закреплены: </w:t>
      </w:r>
    </w:p>
    <w:p w:rsidR="008C6BA9" w:rsidRDefault="008C6BA9">
      <w:pPr>
        <w:pStyle w:val="a"/>
      </w:pPr>
      <w:r>
        <w:t xml:space="preserve">система законодательства о налогах и сборах; </w:t>
      </w:r>
    </w:p>
    <w:p w:rsidR="008C6BA9" w:rsidRDefault="008C6BA9">
      <w:pPr>
        <w:pStyle w:val="a"/>
      </w:pPr>
      <w:r>
        <w:t xml:space="preserve">общие принципы налогообложения; </w:t>
      </w:r>
    </w:p>
    <w:p w:rsidR="008C6BA9" w:rsidRDefault="008C6BA9">
      <w:pPr>
        <w:pStyle w:val="a"/>
      </w:pPr>
      <w:r>
        <w:t xml:space="preserve">система налогов и сборов, взимаемых с физических и юридических лиц; </w:t>
      </w:r>
    </w:p>
    <w:p w:rsidR="008C6BA9" w:rsidRDefault="008C6BA9">
      <w:pPr>
        <w:pStyle w:val="a"/>
      </w:pPr>
      <w:r>
        <w:t xml:space="preserve">налоговые органы и участники налоговых отношений; </w:t>
      </w:r>
    </w:p>
    <w:p w:rsidR="008C6BA9" w:rsidRDefault="008C6BA9">
      <w:pPr>
        <w:pStyle w:val="a"/>
      </w:pPr>
      <w:r>
        <w:t xml:space="preserve">основания возникновения, изменения, прекращения обязанностей по уплате налогов и сборов; </w:t>
      </w:r>
    </w:p>
    <w:p w:rsidR="008C6BA9" w:rsidRDefault="008C6BA9">
      <w:pPr>
        <w:pStyle w:val="a"/>
      </w:pPr>
      <w:r>
        <w:t xml:space="preserve">порядок и процедуры налогового производства и налогового контроля; </w:t>
      </w:r>
    </w:p>
    <w:p w:rsidR="008C6BA9" w:rsidRDefault="008C6BA9">
      <w:pPr>
        <w:pStyle w:val="a"/>
      </w:pPr>
      <w:r>
        <w:t xml:space="preserve">ответственность за совершения налоговых правонарушений; </w:t>
      </w:r>
    </w:p>
    <w:p w:rsidR="008C6BA9" w:rsidRDefault="008C6BA9">
      <w:pPr>
        <w:pStyle w:val="a"/>
      </w:pPr>
      <w:r>
        <w:t xml:space="preserve">порядок обжалования актов налоговых органов. </w:t>
      </w:r>
    </w:p>
    <w:p w:rsidR="008C6BA9" w:rsidRDefault="008C6BA9">
      <w:pPr>
        <w:pStyle w:val="a"/>
      </w:pPr>
      <w:r>
        <w:t xml:space="preserve">часть </w:t>
      </w:r>
      <w:r>
        <w:rPr>
          <w:lang w:val="en-US"/>
        </w:rPr>
        <w:t>II</w:t>
      </w:r>
      <w:r>
        <w:t xml:space="preserve"> (01.01. 2001 г) включает нормы, регулирующие порядок исчисления и уплаты отдельных налогов</w:t>
      </w:r>
    </w:p>
    <w:p w:rsidR="008C6BA9" w:rsidRDefault="008C6BA9"/>
    <w:p w:rsidR="008C6BA9" w:rsidRDefault="008C6BA9">
      <w:pPr>
        <w:pStyle w:val="2"/>
      </w:pPr>
      <w:r>
        <w:t>Законы общего действия и законы о конкретных налогах</w:t>
      </w:r>
    </w:p>
    <w:p w:rsidR="008C6BA9" w:rsidRDefault="008C6BA9"/>
    <w:p w:rsidR="008C6BA9" w:rsidRDefault="008C6BA9">
      <w:r>
        <w:t xml:space="preserve">К ним относят законы, регулирующие вопросы статуса налоговых органов ил налогового производства. Законы о конкретных налогах регулируют порядок исчисления и уплаты налоговых платежей одного вида. </w:t>
      </w:r>
    </w:p>
    <w:p w:rsidR="008C6BA9" w:rsidRDefault="008C6BA9">
      <w:r>
        <w:t>Законы о налогах и сборах субъектов РФ и нормативно-правовые акты органов МСУ</w:t>
      </w:r>
    </w:p>
    <w:p w:rsidR="008C6BA9" w:rsidRDefault="008C6BA9">
      <w:r>
        <w:t xml:space="preserve">Эти источники принимаются в целях установления, изменения или отмены региональных ил муниципальных налогов, перечень которых ограничен ст.14, 15 НК РФ. </w:t>
      </w:r>
    </w:p>
    <w:p w:rsidR="008C6BA9" w:rsidRDefault="008C6BA9">
      <w:pPr>
        <w:pStyle w:val="3"/>
      </w:pPr>
    </w:p>
    <w:p w:rsidR="008C6BA9" w:rsidRDefault="008C6BA9">
      <w:pPr>
        <w:pStyle w:val="3"/>
      </w:pPr>
      <w:r>
        <w:t>Законы неналогового характера</w:t>
      </w:r>
    </w:p>
    <w:p w:rsidR="008C6BA9" w:rsidRDefault="008C6BA9">
      <w:r>
        <w:t xml:space="preserve">Нормативно-правовые акты, не отнесенные НК РФ к законодательству о налогах и сборах, содержащие налоговые нормы (Закон РФ "Об образовании"). </w:t>
      </w:r>
    </w:p>
    <w:p w:rsidR="008C6BA9" w:rsidRDefault="008C6BA9"/>
    <w:p w:rsidR="008C6BA9" w:rsidRDefault="008C6BA9">
      <w:pPr>
        <w:pStyle w:val="3"/>
      </w:pPr>
      <w:r>
        <w:t>Подзаконные нормативно-правовые акты</w:t>
      </w:r>
    </w:p>
    <w:p w:rsidR="008C6BA9" w:rsidRDefault="008C6BA9">
      <w:r>
        <w:t xml:space="preserve">К ним относятся Указы Президента РФ (носят характер поручений), Постановления Правительства РФ (устанавливают ставки акцизов, предельный размер расходов, принимаемые для цели налогообложения), а также нормативно-правовые акты Министерства Финансов РФ, Министерства экономического развития РФ, Центрального Банка России и т.д. </w:t>
      </w:r>
    </w:p>
    <w:p w:rsidR="008C6BA9" w:rsidRDefault="008C6BA9"/>
    <w:p w:rsidR="008C6BA9" w:rsidRDefault="008C6BA9">
      <w:pPr>
        <w:pStyle w:val="3"/>
      </w:pPr>
      <w:r>
        <w:t>Судебные решения</w:t>
      </w:r>
    </w:p>
    <w:p w:rsidR="008C6BA9" w:rsidRDefault="008C6BA9">
      <w:r>
        <w:t xml:space="preserve">Хотя не являются официальным источником налогового права, но значимы для регламентации отношений в налоговой сфере (обжалование незаконных решений налоговых органов). </w:t>
      </w:r>
    </w:p>
    <w:p w:rsidR="008C6BA9" w:rsidRDefault="008C6BA9">
      <w:r>
        <w:t xml:space="preserve">Порядок принятия и введения в действие законов о налогах и сборах можно рассмотреть оп трем аспектам: </w:t>
      </w:r>
    </w:p>
    <w:p w:rsidR="008C6BA9" w:rsidRDefault="008C6BA9">
      <w:pPr>
        <w:pStyle w:val="a"/>
      </w:pPr>
      <w:r>
        <w:t xml:space="preserve">действие закона во времени (акты законодательства о налогах вступают в силу не ранее, чем по истечении месяца со дня их официального опубликования и не ранее первого числа очередного налогового периода по соответствующему налогу; акты законодательства о сборах вступают в силу не ранее чем по истечении месяца со дня их официального опубликования; ФЗ, вносящие изменения в НК РФ в части установления новых налогов, вступают в силу не ранее 1 января следующего за годом их принятия. Официальными источниками опубликования нормативно-правовых актов о налогах и сборах является Собрание законодательства РФ, Российская газета, Парламентская газета) </w:t>
      </w:r>
    </w:p>
    <w:p w:rsidR="008C6BA9" w:rsidRDefault="008C6BA9">
      <w:pPr>
        <w:pStyle w:val="a"/>
      </w:pPr>
      <w:r>
        <w:t xml:space="preserve">действие налоговых актов в пространстве (акты органов МСУ распространяются на управляемую ими территорию; акты субъектов РФ действуют на территории данного субъекта; акты федеральных органов власти действуют на всей территории РФействуют на территории данняются на управляемую ими территорию; акты субъектов рф рмативно-правогоборах вступают в силу не ране) </w:t>
      </w:r>
    </w:p>
    <w:p w:rsidR="008C6BA9" w:rsidRDefault="008C6BA9">
      <w:pPr>
        <w:pStyle w:val="a"/>
      </w:pPr>
      <w:r>
        <w:t xml:space="preserve">действие налоговых актов по кругу лиц (все лица, имеющие объект налогообложения попадают под сферу действия налогового законодательства. Работает принцип резидентства) </w:t>
      </w:r>
    </w:p>
    <w:p w:rsidR="008C6BA9" w:rsidRDefault="008C6BA9">
      <w:r>
        <w:t xml:space="preserve">В РФ законы о налогах носят постоянный характер. Законы действуют независимо от того, утвержден бюджет на соответствующий год или нет. </w:t>
      </w:r>
      <w:bookmarkStart w:id="0" w:name="_GoBack"/>
      <w:bookmarkEnd w:id="0"/>
    </w:p>
    <w:sectPr w:rsidR="008C6BA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BA9" w:rsidRDefault="008C6BA9">
      <w:pPr>
        <w:spacing w:line="240" w:lineRule="auto"/>
      </w:pPr>
      <w:r>
        <w:separator/>
      </w:r>
    </w:p>
  </w:endnote>
  <w:endnote w:type="continuationSeparator" w:id="0">
    <w:p w:rsidR="008C6BA9" w:rsidRDefault="008C6B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BA9" w:rsidRDefault="008C6BA9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BA9" w:rsidRDefault="008C6BA9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BA9" w:rsidRDefault="008C6BA9">
      <w:pPr>
        <w:spacing w:line="240" w:lineRule="auto"/>
      </w:pPr>
      <w:r>
        <w:separator/>
      </w:r>
    </w:p>
  </w:footnote>
  <w:footnote w:type="continuationSeparator" w:id="0">
    <w:p w:rsidR="008C6BA9" w:rsidRDefault="008C6B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BA9" w:rsidRDefault="008C6BA9">
    <w:pPr>
      <w:pStyle w:val="a5"/>
      <w:framePr w:wrap="auto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8D6C70">
      <w:rPr>
        <w:rStyle w:val="af2"/>
      </w:rPr>
      <w:t>2</w:t>
    </w:r>
    <w:r>
      <w:rPr>
        <w:rStyle w:val="af2"/>
      </w:rPr>
      <w:fldChar w:fldCharType="end"/>
    </w:r>
  </w:p>
  <w:p w:rsidR="008C6BA9" w:rsidRDefault="008C6BA9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BA9" w:rsidRDefault="008C6BA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817C2"/>
    <w:multiLevelType w:val="hybridMultilevel"/>
    <w:tmpl w:val="35BE1136"/>
    <w:lvl w:ilvl="0" w:tplc="72BC1BBA">
      <w:start w:val="1"/>
      <w:numFmt w:val="bullet"/>
      <w:lvlText w:val=""/>
      <w:lvlJc w:val="left"/>
      <w:pPr>
        <w:tabs>
          <w:tab w:val="num" w:pos="1440"/>
        </w:tabs>
        <w:ind w:left="907" w:firstLine="173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D01488"/>
    <w:multiLevelType w:val="hybridMultilevel"/>
    <w:tmpl w:val="9DB4AACC"/>
    <w:lvl w:ilvl="0" w:tplc="72BC1BBA">
      <w:start w:val="1"/>
      <w:numFmt w:val="bullet"/>
      <w:lvlText w:val=""/>
      <w:lvlJc w:val="left"/>
      <w:pPr>
        <w:tabs>
          <w:tab w:val="num" w:pos="1440"/>
        </w:tabs>
        <w:ind w:left="907" w:firstLine="173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4A4317B"/>
    <w:multiLevelType w:val="hybridMultilevel"/>
    <w:tmpl w:val="DADE280E"/>
    <w:lvl w:ilvl="0" w:tplc="9724ACDE">
      <w:start w:val="1"/>
      <w:numFmt w:val="bullet"/>
      <w:lvlText w:val=""/>
      <w:lvlJc w:val="left"/>
      <w:pPr>
        <w:tabs>
          <w:tab w:val="num" w:pos="720"/>
        </w:tabs>
        <w:ind w:firstLine="360"/>
      </w:pPr>
      <w:rPr>
        <w:rFonts w:ascii="Symbol" w:hAnsi="Symbol" w:cs="Symbol" w:hint="default"/>
        <w:b/>
        <w:bCs/>
        <w:i/>
        <w:iCs/>
      </w:rPr>
    </w:lvl>
    <w:lvl w:ilvl="1" w:tplc="72BC1BBA">
      <w:start w:val="1"/>
      <w:numFmt w:val="bullet"/>
      <w:lvlText w:val=""/>
      <w:lvlJc w:val="left"/>
      <w:pPr>
        <w:tabs>
          <w:tab w:val="num" w:pos="1440"/>
        </w:tabs>
        <w:ind w:left="907" w:firstLine="173"/>
      </w:pPr>
      <w:rPr>
        <w:rFonts w:ascii="Symbol" w:hAnsi="Symbol" w:cs="Symbol" w:hint="default"/>
        <w:b/>
        <w:bCs/>
        <w:i/>
        <w:iCs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4A84336"/>
    <w:multiLevelType w:val="singleLevel"/>
    <w:tmpl w:val="EC6EBCAE"/>
    <w:lvl w:ilvl="0">
      <w:start w:val="1"/>
      <w:numFmt w:val="bullet"/>
      <w:pStyle w:val="a"/>
      <w:lvlText w:val=""/>
      <w:lvlJc w:val="left"/>
      <w:pPr>
        <w:tabs>
          <w:tab w:val="num" w:pos="1080"/>
        </w:tabs>
        <w:ind w:firstLine="720"/>
      </w:pPr>
      <w:rPr>
        <w:rFonts w:ascii="Symbol" w:hAnsi="Symbol" w:cs="Symbol" w:hint="default"/>
        <w:sz w:val="24"/>
        <w:szCs w:val="24"/>
      </w:rPr>
    </w:lvl>
  </w:abstractNum>
  <w:abstractNum w:abstractNumId="4">
    <w:nsid w:val="075A28A6"/>
    <w:multiLevelType w:val="hybridMultilevel"/>
    <w:tmpl w:val="3BB85038"/>
    <w:lvl w:ilvl="0" w:tplc="72BC1BBA">
      <w:start w:val="1"/>
      <w:numFmt w:val="bullet"/>
      <w:lvlText w:val=""/>
      <w:lvlJc w:val="left"/>
      <w:pPr>
        <w:tabs>
          <w:tab w:val="num" w:pos="1440"/>
        </w:tabs>
        <w:ind w:left="907" w:firstLine="173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E3F2BDD"/>
    <w:multiLevelType w:val="hybridMultilevel"/>
    <w:tmpl w:val="D2D27268"/>
    <w:lvl w:ilvl="0" w:tplc="9724ACDE">
      <w:start w:val="1"/>
      <w:numFmt w:val="bullet"/>
      <w:lvlText w:val=""/>
      <w:lvlJc w:val="left"/>
      <w:pPr>
        <w:tabs>
          <w:tab w:val="num" w:pos="720"/>
        </w:tabs>
        <w:ind w:firstLine="360"/>
      </w:pPr>
      <w:rPr>
        <w:rFonts w:ascii="Symbol" w:hAnsi="Symbol" w:cs="Symbol" w:hint="default"/>
        <w:b/>
        <w:bCs/>
        <w:i/>
        <w:iCs/>
      </w:rPr>
    </w:lvl>
    <w:lvl w:ilvl="1" w:tplc="29AABFC6">
      <w:start w:val="1"/>
      <w:numFmt w:val="bullet"/>
      <w:lvlText w:val=""/>
      <w:lvlJc w:val="left"/>
      <w:pPr>
        <w:tabs>
          <w:tab w:val="num" w:pos="1440"/>
        </w:tabs>
        <w:ind w:left="720" w:firstLine="360"/>
      </w:pPr>
      <w:rPr>
        <w:rFonts w:ascii="Symbol" w:hAnsi="Symbol" w:cs="Symbol" w:hint="default"/>
        <w:b/>
        <w:bCs/>
        <w:i/>
        <w:iCs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D712E97"/>
    <w:multiLevelType w:val="multilevel"/>
    <w:tmpl w:val="0AE8C90A"/>
    <w:lvl w:ilvl="0">
      <w:start w:val="1"/>
      <w:numFmt w:val="bullet"/>
      <w:lvlText w:val=""/>
      <w:lvlJc w:val="left"/>
      <w:pPr>
        <w:tabs>
          <w:tab w:val="num" w:pos="720"/>
        </w:tabs>
        <w:ind w:firstLine="360"/>
      </w:pPr>
      <w:rPr>
        <w:rFonts w:ascii="Symbol" w:hAnsi="Symbol" w:cs="Symbol" w:hint="default"/>
        <w:b/>
        <w:bCs/>
        <w:i/>
        <w:i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DE2031D"/>
    <w:multiLevelType w:val="hybridMultilevel"/>
    <w:tmpl w:val="24AEAB12"/>
    <w:lvl w:ilvl="0" w:tplc="72BC1BBA">
      <w:start w:val="1"/>
      <w:numFmt w:val="bullet"/>
      <w:lvlText w:val=""/>
      <w:lvlJc w:val="left"/>
      <w:pPr>
        <w:tabs>
          <w:tab w:val="num" w:pos="1440"/>
        </w:tabs>
        <w:ind w:left="907" w:firstLine="173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7BB32A1"/>
    <w:multiLevelType w:val="hybridMultilevel"/>
    <w:tmpl w:val="68865172"/>
    <w:lvl w:ilvl="0" w:tplc="9724ACDE">
      <w:start w:val="1"/>
      <w:numFmt w:val="bullet"/>
      <w:lvlText w:val=""/>
      <w:lvlJc w:val="left"/>
      <w:pPr>
        <w:tabs>
          <w:tab w:val="num" w:pos="720"/>
        </w:tabs>
        <w:ind w:firstLine="360"/>
      </w:pPr>
      <w:rPr>
        <w:rFonts w:ascii="Symbol" w:hAnsi="Symbol" w:cs="Symbol" w:hint="default"/>
        <w:b/>
        <w:bCs/>
        <w:i/>
        <w:iCs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C4C427A"/>
    <w:multiLevelType w:val="hybridMultilevel"/>
    <w:tmpl w:val="151ADEDA"/>
    <w:lvl w:ilvl="0" w:tplc="72BC1BBA">
      <w:start w:val="1"/>
      <w:numFmt w:val="bullet"/>
      <w:lvlText w:val=""/>
      <w:lvlJc w:val="left"/>
      <w:pPr>
        <w:tabs>
          <w:tab w:val="num" w:pos="1440"/>
        </w:tabs>
        <w:ind w:left="907" w:firstLine="173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79740F4"/>
    <w:multiLevelType w:val="hybridMultilevel"/>
    <w:tmpl w:val="1862ABCA"/>
    <w:lvl w:ilvl="0" w:tplc="72BC1BBA">
      <w:start w:val="1"/>
      <w:numFmt w:val="bullet"/>
      <w:lvlText w:val=""/>
      <w:lvlJc w:val="left"/>
      <w:pPr>
        <w:tabs>
          <w:tab w:val="num" w:pos="1440"/>
        </w:tabs>
        <w:ind w:left="907" w:firstLine="173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87315C6"/>
    <w:multiLevelType w:val="hybridMultilevel"/>
    <w:tmpl w:val="09BE2538"/>
    <w:lvl w:ilvl="0" w:tplc="72BC1BBA">
      <w:start w:val="1"/>
      <w:numFmt w:val="bullet"/>
      <w:lvlText w:val=""/>
      <w:lvlJc w:val="left"/>
      <w:pPr>
        <w:tabs>
          <w:tab w:val="num" w:pos="1440"/>
        </w:tabs>
        <w:ind w:left="907" w:firstLine="173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B4C7893"/>
    <w:multiLevelType w:val="multilevel"/>
    <w:tmpl w:val="D2D27268"/>
    <w:lvl w:ilvl="0">
      <w:start w:val="1"/>
      <w:numFmt w:val="bullet"/>
      <w:lvlText w:val=""/>
      <w:lvlJc w:val="left"/>
      <w:pPr>
        <w:tabs>
          <w:tab w:val="num" w:pos="720"/>
        </w:tabs>
        <w:ind w:firstLine="360"/>
      </w:pPr>
      <w:rPr>
        <w:rFonts w:ascii="Symbol" w:hAnsi="Symbol" w:cs="Symbol" w:hint="default"/>
        <w:b/>
        <w:bCs/>
        <w:i/>
        <w:iCs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720" w:firstLine="360"/>
      </w:pPr>
      <w:rPr>
        <w:rFonts w:ascii="Symbol" w:hAnsi="Symbol" w:cs="Symbol" w:hint="default"/>
        <w:b/>
        <w:bCs/>
        <w:i/>
        <w:iCs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7BD732BC"/>
    <w:multiLevelType w:val="hybridMultilevel"/>
    <w:tmpl w:val="04209322"/>
    <w:lvl w:ilvl="0" w:tplc="9724ACDE">
      <w:start w:val="1"/>
      <w:numFmt w:val="bullet"/>
      <w:lvlText w:val=""/>
      <w:lvlJc w:val="left"/>
      <w:pPr>
        <w:tabs>
          <w:tab w:val="num" w:pos="720"/>
        </w:tabs>
        <w:ind w:firstLine="360"/>
      </w:pPr>
      <w:rPr>
        <w:rFonts w:ascii="Symbol" w:hAnsi="Symbol" w:cs="Symbol" w:hint="default"/>
        <w:b/>
        <w:bCs/>
        <w:i/>
        <w:iCs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7DD34BEA"/>
    <w:multiLevelType w:val="singleLevel"/>
    <w:tmpl w:val="0344A9D8"/>
    <w:lvl w:ilvl="0">
      <w:start w:val="1"/>
      <w:numFmt w:val="decimal"/>
      <w:pStyle w:val="a0"/>
      <w:lvlText w:val="%1."/>
      <w:lvlJc w:val="left"/>
      <w:pPr>
        <w:tabs>
          <w:tab w:val="num" w:pos="1080"/>
        </w:tabs>
        <w:ind w:firstLine="720"/>
      </w:p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5"/>
  </w:num>
  <w:num w:numId="5">
    <w:abstractNumId w:val="12"/>
  </w:num>
  <w:num w:numId="6">
    <w:abstractNumId w:val="2"/>
  </w:num>
  <w:num w:numId="7">
    <w:abstractNumId w:val="0"/>
  </w:num>
  <w:num w:numId="8">
    <w:abstractNumId w:val="9"/>
  </w:num>
  <w:num w:numId="9">
    <w:abstractNumId w:val="10"/>
  </w:num>
  <w:num w:numId="10">
    <w:abstractNumId w:val="4"/>
  </w:num>
  <w:num w:numId="11">
    <w:abstractNumId w:val="1"/>
  </w:num>
  <w:num w:numId="12">
    <w:abstractNumId w:val="11"/>
  </w:num>
  <w:num w:numId="13">
    <w:abstractNumId w:val="7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doNotHyphenateCaps/>
  <w:drawingGridHorizontalSpacing w:val="6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6C70"/>
    <w:rsid w:val="008C6BA9"/>
    <w:rsid w:val="008D6C70"/>
    <w:rsid w:val="00AB6D50"/>
    <w:rsid w:val="00FA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B978E6C-266E-4E71-B48A-0D16D159A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1"/>
    <w:next w:val="a1"/>
    <w:link w:val="10"/>
    <w:uiPriority w:val="99"/>
    <w:qFormat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1"/>
    <w:next w:val="a1"/>
    <w:link w:val="30"/>
    <w:uiPriority w:val="99"/>
    <w:qFormat/>
    <w:pPr>
      <w:keepNext/>
      <w:outlineLvl w:val="2"/>
    </w:pPr>
    <w:rPr>
      <w:b/>
      <w:bCs/>
      <w:noProof/>
    </w:rPr>
  </w:style>
  <w:style w:type="paragraph" w:styleId="4">
    <w:name w:val="heading 4"/>
    <w:basedOn w:val="a1"/>
    <w:next w:val="a1"/>
    <w:link w:val="40"/>
    <w:uiPriority w:val="99"/>
    <w:qFormat/>
    <w:pPr>
      <w:keepNext/>
      <w:ind w:firstLine="0"/>
      <w:jc w:val="center"/>
      <w:outlineLvl w:val="3"/>
    </w:pPr>
    <w:rPr>
      <w:i/>
      <w:iCs/>
      <w:smallCaps/>
      <w:noProof/>
    </w:rPr>
  </w:style>
  <w:style w:type="paragraph" w:styleId="5">
    <w:name w:val="heading 5"/>
    <w:basedOn w:val="a1"/>
    <w:next w:val="a1"/>
    <w:link w:val="50"/>
    <w:uiPriority w:val="99"/>
    <w:qFormat/>
    <w:pPr>
      <w:keepNext/>
      <w:ind w:left="737"/>
      <w:outlineLvl w:val="4"/>
    </w:pPr>
  </w:style>
  <w:style w:type="paragraph" w:styleId="6">
    <w:name w:val="heading 6"/>
    <w:basedOn w:val="a1"/>
    <w:next w:val="a1"/>
    <w:link w:val="60"/>
    <w:uiPriority w:val="99"/>
    <w:qFormat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1"/>
    <w:next w:val="a1"/>
    <w:link w:val="70"/>
    <w:uiPriority w:val="99"/>
    <w:qFormat/>
    <w:pPr>
      <w:keepNext/>
      <w:outlineLvl w:val="6"/>
    </w:p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b/>
      <w:bCs/>
    </w:rPr>
  </w:style>
  <w:style w:type="character" w:customStyle="1" w:styleId="70">
    <w:name w:val="Заголовок 7 Знак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i/>
      <w:iCs/>
      <w:sz w:val="24"/>
      <w:szCs w:val="24"/>
    </w:rPr>
  </w:style>
  <w:style w:type="paragraph" w:styleId="a5">
    <w:name w:val="header"/>
    <w:basedOn w:val="a1"/>
    <w:next w:val="a6"/>
    <w:link w:val="a7"/>
    <w:uiPriority w:val="99"/>
    <w:pPr>
      <w:tabs>
        <w:tab w:val="center" w:pos="4677"/>
        <w:tab w:val="right" w:pos="9355"/>
      </w:tabs>
      <w:jc w:val="right"/>
    </w:pPr>
    <w:rPr>
      <w:noProof/>
      <w:kern w:val="16"/>
    </w:rPr>
  </w:style>
  <w:style w:type="character" w:customStyle="1" w:styleId="a7">
    <w:name w:val="Верхний колонтитул Знак"/>
    <w:link w:val="a5"/>
    <w:uiPriority w:val="99"/>
    <w:rPr>
      <w:kern w:val="16"/>
      <w:sz w:val="24"/>
      <w:szCs w:val="24"/>
    </w:rPr>
  </w:style>
  <w:style w:type="paragraph" w:styleId="a6">
    <w:name w:val="Body Text"/>
    <w:basedOn w:val="a1"/>
    <w:link w:val="a8"/>
    <w:uiPriority w:val="99"/>
  </w:style>
  <w:style w:type="character" w:customStyle="1" w:styleId="a8">
    <w:name w:val="Основной текст Знак"/>
    <w:link w:val="a6"/>
    <w:uiPriority w:val="99"/>
    <w:semiHidden/>
    <w:rPr>
      <w:rFonts w:ascii="Times New Roman" w:hAnsi="Times New Roman" w:cs="Times New Roman"/>
      <w:sz w:val="28"/>
      <w:szCs w:val="28"/>
    </w:rPr>
  </w:style>
  <w:style w:type="paragraph" w:customStyle="1" w:styleId="a9">
    <w:name w:val="выделение"/>
    <w:uiPriority w:val="99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a">
    <w:name w:val="footnote reference"/>
    <w:uiPriority w:val="99"/>
    <w:rPr>
      <w:sz w:val="28"/>
      <w:szCs w:val="28"/>
      <w:vertAlign w:val="superscript"/>
    </w:rPr>
  </w:style>
  <w:style w:type="paragraph" w:styleId="11">
    <w:name w:val="toc 1"/>
    <w:basedOn w:val="a1"/>
    <w:next w:val="a1"/>
    <w:autoRedefine/>
    <w:uiPriority w:val="99"/>
    <w:pPr>
      <w:jc w:val="left"/>
    </w:pPr>
    <w:rPr>
      <w:b/>
      <w:bCs/>
      <w:caps/>
    </w:rPr>
  </w:style>
  <w:style w:type="paragraph" w:styleId="21">
    <w:name w:val="toc 2"/>
    <w:basedOn w:val="a1"/>
    <w:next w:val="a1"/>
    <w:autoRedefine/>
    <w:uiPriority w:val="99"/>
    <w:pPr>
      <w:tabs>
        <w:tab w:val="right" w:leader="dot" w:pos="9345"/>
      </w:tabs>
      <w:ind w:left="1005" w:hanging="7"/>
      <w:jc w:val="left"/>
    </w:pPr>
    <w:rPr>
      <w:smallCaps/>
      <w:noProof/>
    </w:rPr>
  </w:style>
  <w:style w:type="paragraph" w:styleId="31">
    <w:name w:val="toc 3"/>
    <w:basedOn w:val="a1"/>
    <w:next w:val="a1"/>
    <w:autoRedefine/>
    <w:uiPriority w:val="99"/>
    <w:pPr>
      <w:tabs>
        <w:tab w:val="right" w:leader="dot" w:pos="9345"/>
      </w:tabs>
      <w:ind w:left="1273" w:firstLine="8"/>
      <w:jc w:val="left"/>
    </w:pPr>
    <w:rPr>
      <w:i/>
      <w:iCs/>
      <w:noProof/>
    </w:rPr>
  </w:style>
  <w:style w:type="paragraph" w:styleId="41">
    <w:name w:val="toc 4"/>
    <w:basedOn w:val="a1"/>
    <w:next w:val="a1"/>
    <w:autoRedefine/>
    <w:uiPriority w:val="99"/>
    <w:pPr>
      <w:ind w:left="720"/>
    </w:pPr>
  </w:style>
  <w:style w:type="paragraph" w:styleId="51">
    <w:name w:val="toc 5"/>
    <w:basedOn w:val="a1"/>
    <w:next w:val="a1"/>
    <w:autoRedefine/>
    <w:uiPriority w:val="99"/>
    <w:pPr>
      <w:ind w:left="958"/>
    </w:pPr>
  </w:style>
  <w:style w:type="paragraph" w:customStyle="1" w:styleId="a">
    <w:name w:val="список ненумерованный"/>
    <w:uiPriority w:val="99"/>
    <w:pPr>
      <w:numPr>
        <w:numId w:val="14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a0">
    <w:name w:val="список нумерованный"/>
    <w:uiPriority w:val="99"/>
    <w:pPr>
      <w:numPr>
        <w:numId w:val="15"/>
      </w:numPr>
      <w:tabs>
        <w:tab w:val="num" w:pos="1276"/>
      </w:tabs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ab">
    <w:name w:val="схема"/>
    <w:uiPriority w:val="99"/>
    <w:pPr>
      <w:jc w:val="center"/>
    </w:pPr>
    <w:rPr>
      <w:rFonts w:ascii="Times New Roman" w:hAnsi="Times New Roman"/>
      <w:noProof/>
      <w:sz w:val="24"/>
      <w:szCs w:val="24"/>
    </w:rPr>
  </w:style>
  <w:style w:type="paragraph" w:customStyle="1" w:styleId="ac">
    <w:name w:val="ТАБЛИЦА"/>
    <w:uiPriority w:val="99"/>
    <w:pPr>
      <w:jc w:val="center"/>
    </w:pPr>
    <w:rPr>
      <w:rFonts w:ascii="Times New Roman" w:hAnsi="Times New Roman"/>
    </w:rPr>
  </w:style>
  <w:style w:type="paragraph" w:styleId="ad">
    <w:name w:val="footnote text"/>
    <w:basedOn w:val="a1"/>
    <w:link w:val="ae"/>
    <w:uiPriority w:val="99"/>
  </w:style>
  <w:style w:type="character" w:customStyle="1" w:styleId="ae">
    <w:name w:val="Текст сноски Знак"/>
    <w:link w:val="ad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af">
    <w:name w:val="титут"/>
    <w:uiPriority w:val="99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paragraph" w:styleId="af0">
    <w:name w:val="footer"/>
    <w:basedOn w:val="a1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rPr>
      <w:rFonts w:ascii="Times New Roman" w:hAnsi="Times New Roman" w:cs="Times New Roman"/>
      <w:sz w:val="28"/>
      <w:szCs w:val="28"/>
    </w:rPr>
  </w:style>
  <w:style w:type="character" w:styleId="af2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Источники налогового права</vt:lpstr>
    </vt:vector>
  </TitlesOfParts>
  <Company>home</Company>
  <LinksUpToDate>false</LinksUpToDate>
  <CharactersWithSpaces>4192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Источники налогового права</dc:title>
  <dc:subject/>
  <dc:creator>Sergej</dc:creator>
  <cp:keywords/>
  <dc:description/>
  <cp:lastModifiedBy>admin</cp:lastModifiedBy>
  <cp:revision>2</cp:revision>
  <dcterms:created xsi:type="dcterms:W3CDTF">2014-04-23T04:08:00Z</dcterms:created>
  <dcterms:modified xsi:type="dcterms:W3CDTF">2014-04-23T04:08:00Z</dcterms:modified>
</cp:coreProperties>
</file>