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CB" w:rsidRDefault="00336BCB">
      <w:pPr>
        <w:ind w:right="-5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Министерство морскоготранспорта РФ.</w:t>
      </w:r>
    </w:p>
    <w:p w:rsidR="00336BCB" w:rsidRDefault="00336BCB">
      <w:pPr>
        <w:ind w:right="-5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 xml:space="preserve">                  Морской колледж.</w:t>
      </w:r>
    </w:p>
    <w:p w:rsidR="00336BCB" w:rsidRDefault="00336BCB">
      <w:pPr>
        <w:ind w:right="-5"/>
        <w:rPr>
          <w:rFonts w:ascii="Arial" w:hAnsi="Arial" w:cs="Arial"/>
          <w:b/>
          <w:bCs/>
          <w:i/>
          <w:iCs/>
          <w:sz w:val="36"/>
        </w:rPr>
      </w:pPr>
    </w:p>
    <w:p w:rsidR="00336BCB" w:rsidRDefault="00336BCB">
      <w:pPr>
        <w:ind w:right="-5"/>
        <w:rPr>
          <w:rFonts w:ascii="Arial" w:hAnsi="Arial" w:cs="Arial"/>
          <w:b/>
          <w:bCs/>
          <w:i/>
          <w:iCs/>
          <w:sz w:val="36"/>
        </w:rPr>
      </w:pPr>
    </w:p>
    <w:p w:rsidR="00336BCB" w:rsidRDefault="00336BCB">
      <w:pPr>
        <w:ind w:right="-5"/>
        <w:rPr>
          <w:rFonts w:ascii="Arial" w:hAnsi="Arial" w:cs="Arial"/>
          <w:b/>
          <w:bCs/>
          <w:i/>
          <w:iCs/>
          <w:sz w:val="36"/>
        </w:rPr>
      </w:pPr>
    </w:p>
    <w:p w:rsidR="00336BCB" w:rsidRDefault="00336BCB">
      <w:pPr>
        <w:ind w:right="-5"/>
        <w:rPr>
          <w:rFonts w:ascii="Arial" w:hAnsi="Arial" w:cs="Arial"/>
          <w:b/>
          <w:bCs/>
          <w:i/>
          <w:iCs/>
          <w:sz w:val="36"/>
        </w:rPr>
      </w:pPr>
    </w:p>
    <w:p w:rsidR="00336BCB" w:rsidRDefault="00336BCB">
      <w:pPr>
        <w:ind w:right="-5"/>
        <w:rPr>
          <w:rFonts w:ascii="Arial" w:hAnsi="Arial" w:cs="Arial"/>
          <w:b/>
          <w:bCs/>
          <w:i/>
          <w:iCs/>
          <w:sz w:val="36"/>
        </w:rPr>
      </w:pPr>
    </w:p>
    <w:p w:rsidR="00336BCB" w:rsidRDefault="00336BCB">
      <w:pPr>
        <w:ind w:right="-5"/>
        <w:rPr>
          <w:rFonts w:ascii="Arial" w:hAnsi="Arial" w:cs="Arial"/>
          <w:b/>
          <w:bCs/>
          <w:i/>
          <w:iCs/>
          <w:sz w:val="36"/>
        </w:rPr>
      </w:pPr>
    </w:p>
    <w:p w:rsidR="00336BCB" w:rsidRDefault="00336BCB">
      <w:pPr>
        <w:ind w:right="-5"/>
        <w:rPr>
          <w:rFonts w:ascii="Arial" w:hAnsi="Arial" w:cs="Arial"/>
          <w:b/>
          <w:bCs/>
          <w:i/>
          <w:iCs/>
          <w:sz w:val="36"/>
        </w:rPr>
      </w:pPr>
    </w:p>
    <w:p w:rsidR="00336BCB" w:rsidRDefault="00336BCB">
      <w:pPr>
        <w:ind w:right="-5"/>
        <w:rPr>
          <w:rFonts w:ascii="Arial" w:hAnsi="Arial" w:cs="Arial"/>
          <w:b/>
          <w:bCs/>
          <w:i/>
          <w:iCs/>
          <w:sz w:val="36"/>
        </w:rPr>
      </w:pPr>
    </w:p>
    <w:p w:rsidR="00336BCB" w:rsidRDefault="00336BCB">
      <w:pPr>
        <w:ind w:right="-5"/>
        <w:rPr>
          <w:rFonts w:ascii="Arial" w:hAnsi="Arial" w:cs="Arial"/>
          <w:b/>
          <w:bCs/>
          <w:i/>
          <w:iCs/>
          <w:sz w:val="36"/>
        </w:rPr>
      </w:pPr>
    </w:p>
    <w:p w:rsidR="00336BCB" w:rsidRDefault="00336BCB">
      <w:pPr>
        <w:ind w:right="-5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                       Контрольная работа.</w:t>
      </w:r>
    </w:p>
    <w:p w:rsidR="00336BCB" w:rsidRDefault="00336BCB">
      <w:pPr>
        <w:ind w:right="-5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            По Истории морского судоходства.</w:t>
      </w:r>
    </w:p>
    <w:p w:rsidR="00336BCB" w:rsidRDefault="00336BCB">
      <w:pPr>
        <w:ind w:right="-5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 </w:t>
      </w:r>
    </w:p>
    <w:p w:rsidR="00336BCB" w:rsidRDefault="00336BCB">
      <w:pPr>
        <w:ind w:right="-5"/>
        <w:rPr>
          <w:rFonts w:ascii="Arial" w:hAnsi="Arial" w:cs="Arial"/>
          <w:i/>
          <w:iCs/>
          <w:sz w:val="32"/>
        </w:rPr>
      </w:pPr>
    </w:p>
    <w:p w:rsidR="00336BCB" w:rsidRDefault="00336BCB">
      <w:pPr>
        <w:ind w:right="-5"/>
        <w:rPr>
          <w:rFonts w:ascii="Arial" w:hAnsi="Arial" w:cs="Arial"/>
          <w:i/>
          <w:iCs/>
          <w:sz w:val="32"/>
        </w:rPr>
      </w:pPr>
    </w:p>
    <w:p w:rsidR="00336BCB" w:rsidRDefault="00336BCB">
      <w:pPr>
        <w:ind w:right="-5"/>
        <w:rPr>
          <w:rFonts w:ascii="Arial" w:hAnsi="Arial" w:cs="Arial"/>
          <w:i/>
          <w:iCs/>
          <w:sz w:val="32"/>
        </w:rPr>
      </w:pPr>
    </w:p>
    <w:p w:rsidR="00336BCB" w:rsidRDefault="00336BCB">
      <w:pPr>
        <w:ind w:right="-5"/>
        <w:rPr>
          <w:rFonts w:ascii="Arial" w:hAnsi="Arial" w:cs="Arial"/>
          <w:i/>
          <w:iCs/>
          <w:sz w:val="32"/>
        </w:rPr>
      </w:pPr>
    </w:p>
    <w:p w:rsidR="00336BCB" w:rsidRDefault="00336BCB">
      <w:pPr>
        <w:ind w:right="-5"/>
        <w:rPr>
          <w:rFonts w:ascii="Arial" w:hAnsi="Arial" w:cs="Arial"/>
          <w:i/>
          <w:iCs/>
          <w:sz w:val="32"/>
        </w:rPr>
      </w:pPr>
    </w:p>
    <w:p w:rsidR="00336BCB" w:rsidRDefault="00336BCB">
      <w:pPr>
        <w:ind w:right="-5"/>
        <w:rPr>
          <w:rFonts w:ascii="Arial" w:hAnsi="Arial" w:cs="Arial"/>
          <w:i/>
          <w:iCs/>
          <w:sz w:val="32"/>
        </w:rPr>
      </w:pPr>
    </w:p>
    <w:p w:rsidR="00336BCB" w:rsidRDefault="00336BCB">
      <w:pPr>
        <w:ind w:right="-5"/>
        <w:rPr>
          <w:rFonts w:ascii="Arial" w:hAnsi="Arial" w:cs="Arial"/>
          <w:i/>
          <w:iCs/>
          <w:sz w:val="32"/>
        </w:rPr>
      </w:pPr>
    </w:p>
    <w:p w:rsidR="00336BCB" w:rsidRDefault="00336BCB">
      <w:pPr>
        <w:ind w:right="-5"/>
        <w:rPr>
          <w:rFonts w:ascii="Arial" w:hAnsi="Arial" w:cs="Arial"/>
          <w:i/>
          <w:iCs/>
          <w:sz w:val="32"/>
        </w:rPr>
      </w:pPr>
    </w:p>
    <w:p w:rsidR="00336BCB" w:rsidRDefault="00336BCB">
      <w:pPr>
        <w:ind w:right="-5"/>
        <w:rPr>
          <w:rFonts w:ascii="Arial" w:hAnsi="Arial" w:cs="Arial"/>
          <w:i/>
          <w:iCs/>
          <w:sz w:val="32"/>
        </w:rPr>
      </w:pPr>
    </w:p>
    <w:p w:rsidR="00336BCB" w:rsidRDefault="00336BCB">
      <w:pPr>
        <w:ind w:right="-5"/>
        <w:jc w:val="right"/>
        <w:rPr>
          <w:rFonts w:ascii="Arial" w:hAnsi="Arial" w:cs="Arial"/>
          <w:i/>
          <w:iCs/>
          <w:sz w:val="32"/>
        </w:rPr>
      </w:pPr>
      <w:r>
        <w:rPr>
          <w:rFonts w:ascii="Arial" w:hAnsi="Arial" w:cs="Arial"/>
          <w:i/>
          <w:iCs/>
          <w:sz w:val="32"/>
        </w:rPr>
        <w:t xml:space="preserve">                                                                     </w:t>
      </w:r>
    </w:p>
    <w:p w:rsidR="00336BCB" w:rsidRDefault="00336BCB">
      <w:pPr>
        <w:ind w:right="-5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32"/>
        </w:rPr>
        <w:t xml:space="preserve"> </w:t>
      </w:r>
      <w:r>
        <w:rPr>
          <w:rFonts w:ascii="Arial" w:hAnsi="Arial" w:cs="Arial"/>
          <w:b/>
          <w:bCs/>
          <w:i/>
          <w:iCs/>
          <w:sz w:val="36"/>
        </w:rPr>
        <w:t xml:space="preserve"> </w:t>
      </w:r>
      <w:r>
        <w:rPr>
          <w:rFonts w:ascii="Arial" w:hAnsi="Arial" w:cs="Arial"/>
          <w:sz w:val="28"/>
        </w:rPr>
        <w:t>Выполнил:</w:t>
      </w:r>
    </w:p>
    <w:p w:rsidR="00336BCB" w:rsidRDefault="00336BCB">
      <w:pPr>
        <w:ind w:right="-5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Студент заочного ф-та.</w:t>
      </w:r>
    </w:p>
    <w:p w:rsidR="00336BCB" w:rsidRDefault="00336BCB">
      <w:pPr>
        <w:ind w:right="-5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СВС.Шифр-32.</w:t>
      </w:r>
    </w:p>
    <w:p w:rsidR="00336BCB" w:rsidRDefault="00336BCB">
      <w:pPr>
        <w:ind w:right="-5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Краснов.Д.А.</w:t>
      </w:r>
    </w:p>
    <w:p w:rsidR="00336BCB" w:rsidRDefault="00336BCB">
      <w:pPr>
        <w:ind w:right="-5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Проверил:</w:t>
      </w:r>
    </w:p>
    <w:p w:rsidR="00336BCB" w:rsidRDefault="00336BCB">
      <w:pPr>
        <w:ind w:right="-5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Индыло.В.И.</w:t>
      </w:r>
    </w:p>
    <w:p w:rsidR="00336BCB" w:rsidRDefault="00336BCB">
      <w:pPr>
        <w:ind w:right="-5"/>
        <w:jc w:val="right"/>
        <w:rPr>
          <w:rFonts w:ascii="Arial" w:hAnsi="Arial" w:cs="Arial"/>
          <w:sz w:val="28"/>
        </w:rPr>
      </w:pPr>
    </w:p>
    <w:p w:rsidR="00336BCB" w:rsidRDefault="00336BCB">
      <w:pPr>
        <w:ind w:right="-5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Санкт-Петербург.</w:t>
      </w:r>
    </w:p>
    <w:p w:rsidR="00336BCB" w:rsidRDefault="00336BCB">
      <w:pPr>
        <w:ind w:right="-5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2002.</w:t>
      </w:r>
    </w:p>
    <w:p w:rsidR="00336BCB" w:rsidRDefault="00336BCB">
      <w:pPr>
        <w:ind w:right="-5"/>
        <w:jc w:val="center"/>
        <w:rPr>
          <w:rFonts w:ascii="Arial" w:hAnsi="Arial" w:cs="Arial"/>
          <w:sz w:val="28"/>
        </w:rPr>
      </w:pPr>
    </w:p>
    <w:p w:rsidR="00336BCB" w:rsidRDefault="00336BCB">
      <w:pPr>
        <w:ind w:right="-5"/>
        <w:jc w:val="right"/>
        <w:rPr>
          <w:rFonts w:ascii="Arial" w:hAnsi="Arial" w:cs="Arial"/>
          <w:sz w:val="28"/>
        </w:rPr>
      </w:pPr>
    </w:p>
    <w:p w:rsidR="00336BCB" w:rsidRDefault="00336BCB">
      <w:pPr>
        <w:ind w:right="-5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Мореплавание и судостроение древней Греции.</w:t>
      </w:r>
    </w:p>
    <w:p w:rsidR="00336BCB" w:rsidRDefault="00336BCB">
      <w:pPr>
        <w:ind w:right="-5"/>
        <w:rPr>
          <w:rFonts w:ascii="Arial" w:hAnsi="Arial" w:cs="Arial"/>
          <w:sz w:val="28"/>
        </w:rPr>
      </w:pPr>
    </w:p>
    <w:p w:rsidR="00336BCB" w:rsidRDefault="00336BCB">
      <w:pPr>
        <w:ind w:right="-5"/>
        <w:rPr>
          <w:rFonts w:ascii="Arial" w:hAnsi="Arial" w:cs="Arial"/>
          <w:sz w:val="28"/>
        </w:rPr>
      </w:pPr>
    </w:p>
    <w:p w:rsidR="00336BCB" w:rsidRDefault="00336BCB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Одной из выдающихся цивилизаций древнего мира была Античная Греция, в истории которой морской флот также сыграл значительную роль. Греки уже в </w:t>
      </w:r>
      <w:r>
        <w:rPr>
          <w:rFonts w:ascii="Arial" w:hAnsi="Arial" w:cs="Arial"/>
          <w:sz w:val="28"/>
          <w:lang w:val="en-US"/>
        </w:rPr>
        <w:t>IX</w:t>
      </w:r>
      <w:r>
        <w:rPr>
          <w:rFonts w:ascii="Arial" w:hAnsi="Arial" w:cs="Arial"/>
          <w:sz w:val="28"/>
        </w:rPr>
        <w:t xml:space="preserve"> в. до н.э. научились у финикийцев строить замечательные  по тому времени суда и рано начали колонизацию окружающих территорий. В </w:t>
      </w:r>
      <w:r>
        <w:rPr>
          <w:rFonts w:ascii="Arial" w:hAnsi="Arial" w:cs="Arial"/>
          <w:sz w:val="28"/>
          <w:lang w:val="en-US"/>
        </w:rPr>
        <w:t>VIII</w:t>
      </w:r>
      <w:r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  <w:lang w:val="en-US"/>
        </w:rPr>
        <w:t>VI</w:t>
      </w:r>
      <w:r>
        <w:rPr>
          <w:rFonts w:ascii="Arial" w:hAnsi="Arial" w:cs="Arial"/>
          <w:sz w:val="28"/>
        </w:rPr>
        <w:t xml:space="preserve"> вв. до н.э. область их проникновения охватывала западные берега Средиземного моря, весь Понт Эквинский (Черное море) и Эгейский берег Малой Азии.</w:t>
      </w:r>
    </w:p>
    <w:p w:rsidR="00336BCB" w:rsidRDefault="00336BCB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Ни одно деревянное античное судно или часть его не сохранились, и  это не позволяет уточнить представление об основных типах галер, сложившееся на основе письменных и других исторических материалов. Водолазы и аквалангисты продолжают обследование морского дна  на местах древних морских сражений, в которых погибли сотни кораблей Об их форме и внутреннем строении можно судить по косвенным признакам- например по точным зарисовкам расположения глиняных сосудов и металлических предметов, сохранившихся там, где лежал корабль. И все же при отсутствии деревянных деталей корпуса не обойтись без помощи кропотливого анализа и воображения.</w:t>
      </w:r>
    </w:p>
    <w:p w:rsidR="00336BCB" w:rsidRDefault="00336BCB">
      <w:pPr>
        <w:pStyle w:val="a3"/>
        <w:ind w:right="-5"/>
      </w:pPr>
      <w:r>
        <w:t>В то время мореплаватели не умели управлять одиночным парусом и лавировать против ветра. Так, путь из Александрии на Сицилию, благодаря преобладанию попутного юго-восточного ветра, продолжался около недели,  тогда как обратный путь , на веслах длился в трое дольше. Судно удерживалось на курсе  при помощи рулевого весла, что по сравнению с более поздним  рулем имело по крайней мере два преимущества: позволяло поворачивать неподвижное судно и легко производить замену поврежденного или поломанного  рулевого весла. Торговые суда были широкими и имели обширное трюмное  пространство для размещения грузов.</w:t>
      </w:r>
    </w:p>
    <w:p w:rsidR="00336BCB" w:rsidRDefault="00336BCB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этом же столетии получили распространение и триеры- боевые корабли с тремя ярусами гребцов. Подобное устройство галер- вклад древнегреческих мастеров в конструирование морских судов. Древнегреческие судостроители умели строить еще большие суда, достигавшие 100м. в длину и более10 м. в ширину, с несколькими таранами имевшие более четырехсот гребцов.</w:t>
      </w:r>
    </w:p>
    <w:p w:rsidR="00336BCB" w:rsidRDefault="00336BCB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Многоярусные суда ети были оснащены длинными , а потому и тяжелыми веслами, которые уравновешивались со стороны гребцов свинцовым грузом.</w:t>
      </w:r>
    </w:p>
    <w:p w:rsidR="00336BCB" w:rsidRDefault="00336BCB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Греки усовершенствовали также  такелаж и другое оснащение судов. Еще не был известен компас. В открытом море орентировались по звездам, пользуясь астрономическими сведениями. При этом , очевидно, их хорошо заимствовали у египтян и вавилонян, известных своими астрономическими наблюдениями. Однако Греки первыми ввели термины «Широта» и «Долгота» для указания положения различных пунктов на земле. Эти понятия своим возникновением, обязаны ,по видимому, форме самого Средиземного моря. Примечательно также  усовершенствование портов и особенно начало строительства маяков.</w:t>
      </w:r>
    </w:p>
    <w:p w:rsidR="00336BCB" w:rsidRDefault="00336BCB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Александрийской гавани , например, была построена башня 140м. высоты, на вершине которой ночью горел огонь- жгли смолистое дерево.</w:t>
      </w:r>
    </w:p>
    <w:p w:rsidR="00336BCB" w:rsidRDefault="00336BCB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Хотя греки были способными, хорошо подготовленными мореплавателями, морские путешествия в ту пору делом опасным.</w:t>
      </w:r>
    </w:p>
    <w:p w:rsidR="00336BCB" w:rsidRDefault="00336BCB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Далеко не каждое судно достигало пункта назначения в результате то кораблекрушения, то пиратского нападения.</w:t>
      </w:r>
    </w:p>
    <w:p w:rsidR="00336BCB" w:rsidRDefault="00336BCB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Галеры  античной Греции бороздили почти все Средиземное и Черное моря, есть свидетельства об их проникновении через Гибралтар на север. Здесь они достигли Британии , а возможно, и Скандинавии. </w:t>
      </w:r>
    </w:p>
    <w:p w:rsidR="00336BCB" w:rsidRDefault="00336BCB">
      <w:pPr>
        <w:ind w:right="-5"/>
        <w:rPr>
          <w:rFonts w:ascii="Arial" w:hAnsi="Arial" w:cs="Arial"/>
          <w:sz w:val="28"/>
        </w:rPr>
      </w:pPr>
    </w:p>
    <w:p w:rsidR="00336BCB" w:rsidRDefault="00336BCB">
      <w:pPr>
        <w:ind w:right="-5"/>
        <w:rPr>
          <w:rFonts w:ascii="Arial" w:hAnsi="Arial" w:cs="Arial"/>
          <w:sz w:val="28"/>
        </w:rPr>
      </w:pPr>
    </w:p>
    <w:p w:rsidR="00336BCB" w:rsidRDefault="00336BCB">
      <w:pPr>
        <w:ind w:right="-5"/>
        <w:rPr>
          <w:rFonts w:ascii="Arial" w:hAnsi="Arial" w:cs="Arial"/>
          <w:b/>
          <w:bCs/>
          <w:i/>
          <w:iCs/>
          <w:sz w:val="36"/>
        </w:rPr>
      </w:pPr>
      <w:r>
        <w:rPr>
          <w:rFonts w:ascii="Arial" w:hAnsi="Arial" w:cs="Arial"/>
          <w:b/>
          <w:bCs/>
          <w:i/>
          <w:iCs/>
          <w:sz w:val="36"/>
        </w:rPr>
        <w:t>Путешествие Марко Поло.</w:t>
      </w:r>
    </w:p>
    <w:p w:rsidR="00336BCB" w:rsidRDefault="00336BCB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:rsidR="00336BCB" w:rsidRDefault="00336BCB">
      <w:pPr>
        <w:ind w:right="-5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период феодализма  большую роль в политической и экономической жизни государств играла церковь. Распространение христианства способствовало тому, что церковь заняла ведущие позиции управления средневековым миром. Завоевания монголов, претендовавших на мировое господство, сильно обеспокоило церковников, и последние предприняли ряд попыток обратить монгольского хана в христианство. Интересам церкви служили и купцы часто посещавшие страны Азии.</w:t>
      </w:r>
    </w:p>
    <w:p w:rsidR="00336BCB" w:rsidRDefault="00336BCB">
      <w:pPr>
        <w:pStyle w:val="a3"/>
        <w:ind w:righ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 в 1271 году  венецианские купцы Поло отправились в страны Востока.</w:t>
      </w:r>
    </w:p>
    <w:p w:rsidR="00336BCB" w:rsidRDefault="00336BCB">
      <w:pPr>
        <w:ind w:right="-5"/>
        <w:rPr>
          <w:sz w:val="28"/>
        </w:rPr>
      </w:pPr>
      <w:r>
        <w:rPr>
          <w:sz w:val="28"/>
        </w:rPr>
        <w:t>Путь их начался в Акре (Палестина) и проходил по центральной части Малой Азии, через Персию, Иранское нагорье, Памир и далее вдоль хребта Куэнь-Луня. Конечным пунктом был Пекин. Путешествие стало известно благодаря одному из купцов – Марко Поло. С 1275 по 1290 Марко Поло жил в Китае, находясь на службе у монгольского Хана. Ему представилась возможность побывать во многих районах этого государства, изучить и собрать богатейшие сведения о Восточной Азии. Обратный путь купцы совершили морем на нескольких кораблях. Флотили благополучно прошла по Южно-Китайскому морю и достигла Суматры.. Пятимесячную стоянку на острове Марко Поло использовал для изучения Больших Зондских островов. Дальней шее плавание проходило по Индийскому океану к Цейлону и обычным путем вдоль западного побережья полуострова Индостан, через Персидский залив. В 1294 году путешественники прибыли в Басру и  в следующем году возвратились в Венецию. Богатейшие впечатления о путешествиях по Азии Марко Поло изложил в обстоятельном труде, который дал европейцам наиболее полное представление о странах Востока, а в особенности о Китае- его богатствах, огромном флоте, об общем  уровне техники и культуры. Ошибочным было представление Марко Поло о южной части Индийского океана, где , по его предположениям имелось очень много островов.</w:t>
      </w:r>
    </w:p>
    <w:p w:rsidR="00336BCB" w:rsidRDefault="00336BCB">
      <w:pPr>
        <w:ind w:right="-5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lang w:val="en-US"/>
        </w:rPr>
        <w:t>XIV</w:t>
      </w:r>
      <w:r>
        <w:rPr>
          <w:sz w:val="28"/>
        </w:rPr>
        <w:t xml:space="preserve"> в. труд Марко Поло использовался для составления морских карт.</w:t>
      </w:r>
    </w:p>
    <w:p w:rsidR="00336BCB" w:rsidRDefault="00336BCB">
      <w:pPr>
        <w:ind w:right="-5"/>
        <w:rPr>
          <w:sz w:val="28"/>
        </w:rPr>
      </w:pPr>
      <w:r>
        <w:rPr>
          <w:sz w:val="28"/>
        </w:rPr>
        <w:t>Путешествие этого замечательного мореплавателя явилось как бы одной из первых частей пролога великих морских плаваний и географических открытий.</w:t>
      </w:r>
    </w:p>
    <w:p w:rsidR="00336BCB" w:rsidRDefault="00336BCB">
      <w:pPr>
        <w:ind w:right="-5"/>
        <w:rPr>
          <w:sz w:val="28"/>
        </w:rPr>
      </w:pPr>
    </w:p>
    <w:p w:rsidR="00336BCB" w:rsidRDefault="00336BCB">
      <w:pPr>
        <w:ind w:right="-5"/>
        <w:rPr>
          <w:sz w:val="28"/>
        </w:rPr>
      </w:pPr>
    </w:p>
    <w:p w:rsidR="00336BCB" w:rsidRDefault="00336BCB">
      <w:pPr>
        <w:ind w:right="-5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Судоходство под «удобными» флагами.</w:t>
      </w:r>
    </w:p>
    <w:p w:rsidR="00336BCB" w:rsidRDefault="00336BCB">
      <w:pPr>
        <w:ind w:right="-5"/>
        <w:rPr>
          <w:sz w:val="28"/>
        </w:rPr>
      </w:pPr>
    </w:p>
    <w:p w:rsidR="00336BCB" w:rsidRDefault="00336BCB">
      <w:pPr>
        <w:ind w:right="-5"/>
        <w:rPr>
          <w:sz w:val="28"/>
        </w:rPr>
      </w:pPr>
      <w:r>
        <w:rPr>
          <w:sz w:val="28"/>
        </w:rPr>
        <w:t>В один из дней начала сентября 1987 года в конференц зале лондонского отеля «Глостер»  открылась первая международная конференция, в задачу которой входило снабдить судовладельцев всей доступной информацией об условиях регистрации торговых судов в государствах, допускающих иностранные судоходные компании под свой национальный флаг. На конференции председательствовал Филип Дж Лори, презитент ФАКС, а среди докладчиков значилдись многие видные представители международного судоходства и банковского бизнеса. Как бы подчеркивая новизну ситуации сложившейся после Женевской дипломатической конференции завершившей инициативы развивающихся стран против «удобных» флагов, организаторы конференции в Лондоне придали своему заседанию слегка игривый оттенок. В английском оригинале название конференции «Какой регистр? Какой флаг?» звучит как готовность создавать по заказу судовладельцев такие условия регистрации судов , которые могут им потребоваться для финансового благополучия судоходных предприятий. Во всяком случае мысль о том, что бы правительства откликались на пожелание менеджеров судоходных компаний в части условий регистрации судов, проходила красной нитью многих докладов.</w:t>
      </w:r>
    </w:p>
    <w:p w:rsidR="00336BCB" w:rsidRDefault="00336BCB">
      <w:pPr>
        <w:ind w:right="-5"/>
        <w:rPr>
          <w:sz w:val="28"/>
        </w:rPr>
      </w:pPr>
      <w:r>
        <w:rPr>
          <w:sz w:val="28"/>
        </w:rPr>
        <w:t>К осени 1987г. разрозненные и не очень внятные сообщения информационных агенств , о зарождении новых форм открытой регистрации судов, наводнившие морскую прессу на заключительном этапе Женевской конференции по «удобным» флагом  обрели вполне определенные очертания. Поэтому перед судовладельцами, собравшимися в отеле «Глостер» действительно были развернуты альтернативные условия регистрации судов под иностранными флагами в трех различных транспортно политических категориях.</w:t>
      </w:r>
    </w:p>
    <w:p w:rsidR="00336BCB" w:rsidRDefault="00336BCB">
      <w:pPr>
        <w:ind w:right="-5"/>
        <w:rPr>
          <w:sz w:val="28"/>
        </w:rPr>
      </w:pPr>
      <w:r>
        <w:rPr>
          <w:sz w:val="28"/>
        </w:rPr>
        <w:t>К первой категории относятся независимые открытые регистры. Сюда включаются в первую очередь традиционно «удобные» флаги ( Багамские острова, Гондурас, Кипр, Либерия, Панама, Сингапур).Характерной чертой этой группы государств , практикующих открытую регистрацию судов, является участие в основных конвенциях по охране человеческой жизни и имущества на море. Все они, кроме Панамы, присоединились к конвенции 1978г. « О стандартах подготовки, дипломировании моряков и несение вахты.»</w:t>
      </w:r>
    </w:p>
    <w:p w:rsidR="00336BCB" w:rsidRDefault="00336BCB">
      <w:pPr>
        <w:ind w:right="-5"/>
        <w:rPr>
          <w:sz w:val="28"/>
        </w:rPr>
      </w:pPr>
      <w:r>
        <w:rPr>
          <w:sz w:val="28"/>
        </w:rPr>
        <w:t>Сказалось давление общественного мнения после нашумевших аварий танкеров под либерийским и багамскими флагами. Зато почти ни одно государство «удобного» флага не учавствует в конвенции МОТ 1976г. №147 «О минимальных нормах на торговых судах». Не повторяя общую оценку положений Конвенции №147 , здесь следует все же указать на ст.2 (е), устанавливающую, что каждый участник Конвенции обязан: «обеспечить, чтобы моряки, нанятые на суда, зарегистрированные на его территории, были бы должной квалификации или профессиональной подготовки для выполнения обязанностей, для которых они были наняты…»</w:t>
      </w:r>
    </w:p>
    <w:p w:rsidR="00336BCB" w:rsidRDefault="00336BCB">
      <w:pPr>
        <w:ind w:right="-5"/>
        <w:rPr>
          <w:sz w:val="28"/>
        </w:rPr>
      </w:pPr>
    </w:p>
    <w:p w:rsidR="00336BCB" w:rsidRDefault="00336BCB">
      <w:pPr>
        <w:ind w:right="-5"/>
        <w:rPr>
          <w:sz w:val="28"/>
        </w:rPr>
      </w:pPr>
      <w:r>
        <w:rPr>
          <w:sz w:val="28"/>
        </w:rPr>
        <w:t>80-е годы, особенно вторая половина, занимает в развитие феномена «удобных» флагов необычное, во многом исключительное место. Впервые в практике открытой регистрации судов смена национального флага кувейтских танкеров на флаг США была осуществлена в 1987г. не ради комерческих выгод, а  как акция с заданными военно-политическими результатами. Реакция международных деловых кругов и общественных институтов на этот шаг администрации Рейгана проявилась неоднозначно. Комитет справедливой практики МФТР тут же  занес флаг Соединенных штатов Америки  в категорию удобных флагов.</w:t>
      </w:r>
    </w:p>
    <w:p w:rsidR="00336BCB" w:rsidRDefault="00336BCB">
      <w:pPr>
        <w:ind w:right="-5"/>
        <w:rPr>
          <w:sz w:val="28"/>
        </w:rPr>
      </w:pPr>
    </w:p>
    <w:p w:rsidR="00336BCB" w:rsidRDefault="00336BCB">
      <w:pPr>
        <w:ind w:right="-5"/>
        <w:rPr>
          <w:b/>
          <w:bCs/>
          <w:i/>
          <w:iCs/>
          <w:sz w:val="32"/>
        </w:rPr>
      </w:pPr>
      <w:r>
        <w:rPr>
          <w:sz w:val="28"/>
        </w:rPr>
        <w:t xml:space="preserve"> </w:t>
      </w:r>
      <w:r>
        <w:rPr>
          <w:b/>
          <w:bCs/>
          <w:i/>
          <w:iCs/>
          <w:sz w:val="32"/>
        </w:rPr>
        <w:t xml:space="preserve">Морские профсоюзы против «удобных» флагов. </w:t>
      </w:r>
    </w:p>
    <w:p w:rsidR="00336BCB" w:rsidRDefault="00336BCB">
      <w:pPr>
        <w:ind w:right="-5"/>
        <w:rPr>
          <w:sz w:val="28"/>
        </w:rPr>
      </w:pPr>
    </w:p>
    <w:p w:rsidR="00336BCB" w:rsidRDefault="00336BCB">
      <w:pPr>
        <w:ind w:right="-5"/>
        <w:rPr>
          <w:sz w:val="28"/>
        </w:rPr>
      </w:pPr>
      <w:r>
        <w:rPr>
          <w:sz w:val="28"/>
        </w:rPr>
        <w:t>В докладе секретариат МФТР сформулировал уже целостную программу дальнейшей  кампании против судовладельцев, предпочитающих пользоваться удобствами «удобных» флагов.</w:t>
      </w:r>
    </w:p>
    <w:p w:rsidR="00336BCB" w:rsidRDefault="00336BCB">
      <w:pPr>
        <w:ind w:right="-5"/>
        <w:rPr>
          <w:sz w:val="28"/>
        </w:rPr>
      </w:pPr>
      <w:r>
        <w:rPr>
          <w:sz w:val="28"/>
        </w:rPr>
        <w:t>1.Под эгидой специальной секции мореплавателей МФТР будет впредь проводиться организаторская работа против «подставных» флагов среди экипажей на судах Панамы и им подобных судах.</w:t>
      </w:r>
    </w:p>
    <w:p w:rsidR="00336BCB" w:rsidRDefault="00336BCB">
      <w:pPr>
        <w:ind w:right="-5"/>
        <w:rPr>
          <w:sz w:val="28"/>
        </w:rPr>
      </w:pPr>
      <w:r>
        <w:rPr>
          <w:sz w:val="28"/>
        </w:rPr>
        <w:t>2. Будут заключатся колдоговоры с судовладельцами, согласными применять нормы заработной платы и другие трудовые стандарты, сформулированные МФТР.</w:t>
      </w:r>
    </w:p>
    <w:p w:rsidR="00336BCB" w:rsidRDefault="00336BCB">
      <w:pPr>
        <w:ind w:right="-5"/>
        <w:rPr>
          <w:sz w:val="28"/>
        </w:rPr>
      </w:pPr>
      <w:r>
        <w:rPr>
          <w:sz w:val="28"/>
        </w:rPr>
        <w:t>3.Будут составляться списки судов,  условия работы на которые не отвечают социально трудовым стандартам МФТР. Против судов, включенных в «черные» списки МФТР,  при каждом удобном случае должны производиться  меры бойкота в портах.</w:t>
      </w:r>
      <w:bookmarkStart w:id="0" w:name="_GoBack"/>
      <w:bookmarkEnd w:id="0"/>
    </w:p>
    <w:sectPr w:rsidR="00336BCB">
      <w:pgSz w:w="11906" w:h="16838"/>
      <w:pgMar w:top="1977" w:right="1826" w:bottom="2336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EE3"/>
    <w:rsid w:val="00336BCB"/>
    <w:rsid w:val="00673795"/>
    <w:rsid w:val="00B00DB1"/>
    <w:rsid w:val="00D1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6C00B-ADAD-4064-90B6-754106E1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Одной из выдающихся цивилизаций древнего мира была Античная Греция, в истории которой морской флот также сыграл значительную р</vt:lpstr>
    </vt:vector>
  </TitlesOfParts>
  <Company>ЧАСТНЫЙ ПОЛЬЗОВАТЕЛЬ</Company>
  <LinksUpToDate>false</LinksUpToDate>
  <CharactersWithSpaces>9864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Одной из выдающихся цивилизаций древнего мира была Античная Греция, в истории которой морской флот также сыграл значительную р</dc:title>
  <dc:subject/>
  <dc:creator>КРАСНОВ ДМИТРИЙ</dc:creator>
  <cp:keywords/>
  <dc:description/>
  <cp:lastModifiedBy>Irina</cp:lastModifiedBy>
  <cp:revision>2</cp:revision>
  <cp:lastPrinted>2002-10-08T18:46:00Z</cp:lastPrinted>
  <dcterms:created xsi:type="dcterms:W3CDTF">2014-09-06T05:23:00Z</dcterms:created>
  <dcterms:modified xsi:type="dcterms:W3CDTF">2014-09-06T05:23:00Z</dcterms:modified>
</cp:coreProperties>
</file>