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7F" w:rsidRDefault="00C60F87">
      <w:pPr>
        <w:pStyle w:val="a3"/>
        <w:rPr>
          <w:b/>
          <w:bCs/>
        </w:rPr>
      </w:pPr>
      <w:r>
        <w:br/>
      </w:r>
      <w:r>
        <w:br/>
        <w:t>План</w:t>
      </w:r>
      <w:r>
        <w:br/>
        <w:t xml:space="preserve">Введение </w:t>
      </w:r>
      <w:r>
        <w:br/>
      </w:r>
      <w:r>
        <w:rPr>
          <w:b/>
          <w:bCs/>
        </w:rPr>
        <w:t xml:space="preserve">1 Досовременная история </w:t>
      </w:r>
      <w:r>
        <w:rPr>
          <w:b/>
          <w:bCs/>
        </w:rPr>
        <w:br/>
        <w:t>1.1 Древний мир</w:t>
      </w:r>
      <w:r>
        <w:rPr>
          <w:b/>
          <w:bCs/>
        </w:rPr>
        <w:br/>
        <w:t>1.2 Арабский халифат (628—1099)</w:t>
      </w:r>
      <w:r>
        <w:rPr>
          <w:b/>
          <w:bCs/>
        </w:rPr>
        <w:br/>
        <w:t>1.3 Эпоха крестоносцев (1099—1187)</w:t>
      </w:r>
      <w:r>
        <w:rPr>
          <w:b/>
          <w:bCs/>
        </w:rPr>
        <w:br/>
        <w:t>1.4 Правление мамлюков (1270—1516)</w:t>
      </w:r>
      <w:r>
        <w:rPr>
          <w:b/>
          <w:bCs/>
        </w:rPr>
        <w:br/>
      </w:r>
      <w:r>
        <w:br/>
      </w:r>
      <w:r>
        <w:rPr>
          <w:b/>
          <w:bCs/>
        </w:rPr>
        <w:t xml:space="preserve">2 Османское правление (1516—1918) </w:t>
      </w:r>
      <w:r>
        <w:rPr>
          <w:b/>
          <w:bCs/>
        </w:rPr>
        <w:br/>
        <w:t xml:space="preserve">2.1 Почтовая связь в Османской империи </w:t>
      </w:r>
      <w:r>
        <w:rPr>
          <w:b/>
          <w:bCs/>
        </w:rPr>
        <w:br/>
        <w:t>2.1.1 Почтовые отделения Османской империи</w:t>
      </w:r>
      <w:r>
        <w:rPr>
          <w:b/>
          <w:bCs/>
        </w:rPr>
        <w:br/>
        <w:t>2.1.2 Почтовые тарифы Османской империи (1840—1918)</w:t>
      </w:r>
      <w:r>
        <w:rPr>
          <w:b/>
          <w:bCs/>
        </w:rPr>
        <w:br/>
      </w:r>
      <w:r>
        <w:rPr>
          <w:b/>
          <w:bCs/>
        </w:rPr>
        <w:br/>
        <w:t xml:space="preserve">2.2 Иностранные почтовые отделения </w:t>
      </w:r>
      <w:r>
        <w:rPr>
          <w:b/>
          <w:bCs/>
        </w:rPr>
        <w:br/>
        <w:t>2.2.1 Российские</w:t>
      </w:r>
      <w:r>
        <w:rPr>
          <w:b/>
          <w:bCs/>
        </w:rPr>
        <w:br/>
        <w:t>2.2.2 Австрийские</w:t>
      </w:r>
      <w:r>
        <w:rPr>
          <w:b/>
          <w:bCs/>
        </w:rPr>
        <w:br/>
        <w:t>2.2.3 Французские</w:t>
      </w:r>
      <w:r>
        <w:rPr>
          <w:b/>
          <w:bCs/>
        </w:rPr>
        <w:br/>
        <w:t>2.2.4 Германские</w:t>
      </w:r>
      <w:r>
        <w:rPr>
          <w:b/>
          <w:bCs/>
        </w:rPr>
        <w:br/>
        <w:t>2.2.5 Итальянские</w:t>
      </w:r>
      <w:r>
        <w:rPr>
          <w:b/>
          <w:bCs/>
        </w:rPr>
        <w:br/>
        <w:t>2.2.6 Египетские</w:t>
      </w:r>
      <w:r>
        <w:rPr>
          <w:b/>
          <w:bCs/>
        </w:rPr>
        <w:br/>
        <w:t>2.2.7 Прочие</w:t>
      </w:r>
      <w:r>
        <w:rPr>
          <w:b/>
          <w:bCs/>
        </w:rPr>
        <w:br/>
      </w:r>
      <w:r>
        <w:rPr>
          <w:b/>
          <w:bCs/>
        </w:rPr>
        <w:br/>
      </w:r>
      <w:r>
        <w:br/>
      </w:r>
      <w:r>
        <w:rPr>
          <w:b/>
          <w:bCs/>
        </w:rPr>
        <w:t xml:space="preserve">3 Британская военная и гражданская администрация (1917—1948) </w:t>
      </w:r>
      <w:r>
        <w:rPr>
          <w:b/>
          <w:bCs/>
        </w:rPr>
        <w:br/>
        <w:t>3.1 Почтовые марки и почта британской Египетской экспедиционной армии (1917—1920)</w:t>
      </w:r>
      <w:r>
        <w:rPr>
          <w:b/>
          <w:bCs/>
        </w:rPr>
        <w:br/>
        <w:t>3.2 Британский мандат (1920—1948)</w:t>
      </w:r>
      <w:r>
        <w:rPr>
          <w:b/>
          <w:bCs/>
        </w:rPr>
        <w:br/>
        <w:t>3.3 Мандатные почтовые отделения</w:t>
      </w:r>
      <w:r>
        <w:rPr>
          <w:b/>
          <w:bCs/>
        </w:rPr>
        <w:br/>
        <w:t>3.4 Мандатные почтовые тарифы</w:t>
      </w:r>
      <w:r>
        <w:rPr>
          <w:b/>
          <w:bCs/>
        </w:rPr>
        <w:br/>
      </w:r>
      <w:r>
        <w:br/>
      </w:r>
      <w:r>
        <w:rPr>
          <w:b/>
          <w:bCs/>
        </w:rPr>
        <w:t xml:space="preserve">4 Переходная и местная почтовая связь (1948) </w:t>
      </w:r>
      <w:r>
        <w:rPr>
          <w:b/>
          <w:bCs/>
        </w:rPr>
        <w:br/>
        <w:t>4.1 Минхелет хаам</w:t>
      </w:r>
      <w:r>
        <w:rPr>
          <w:b/>
          <w:bCs/>
        </w:rPr>
        <w:br/>
        <w:t xml:space="preserve">4.2 Местная почта </w:t>
      </w:r>
      <w:r>
        <w:rPr>
          <w:b/>
          <w:bCs/>
        </w:rPr>
        <w:br/>
        <w:t>4.2.1 Цфат</w:t>
      </w:r>
      <w:r>
        <w:rPr>
          <w:b/>
          <w:bCs/>
        </w:rPr>
        <w:br/>
        <w:t>4.2.2 Ришон-ле-Цион</w:t>
      </w:r>
      <w:r>
        <w:rPr>
          <w:b/>
          <w:bCs/>
        </w:rPr>
        <w:br/>
        <w:t>4.2.3 Нагария</w:t>
      </w:r>
      <w:r>
        <w:rPr>
          <w:b/>
          <w:bCs/>
        </w:rPr>
        <w:br/>
      </w:r>
      <w:r>
        <w:rPr>
          <w:b/>
          <w:bCs/>
        </w:rPr>
        <w:br/>
      </w:r>
      <w:r>
        <w:br/>
      </w:r>
      <w:r>
        <w:rPr>
          <w:b/>
          <w:bCs/>
        </w:rPr>
        <w:t xml:space="preserve">5 После 1948 года </w:t>
      </w:r>
      <w:r>
        <w:rPr>
          <w:b/>
          <w:bCs/>
        </w:rPr>
        <w:br/>
        <w:t>5.1 Египет и Иордания</w:t>
      </w:r>
      <w:r>
        <w:rPr>
          <w:b/>
          <w:bCs/>
        </w:rPr>
        <w:br/>
        <w:t>5.2 Израиль</w:t>
      </w:r>
      <w:r>
        <w:rPr>
          <w:b/>
          <w:bCs/>
        </w:rPr>
        <w:br/>
        <w:t>5.3 Палестинская национальная администрация</w:t>
      </w:r>
      <w:r>
        <w:rPr>
          <w:b/>
          <w:bCs/>
        </w:rPr>
        <w:br/>
      </w:r>
      <w:r>
        <w:br/>
      </w:r>
      <w:r>
        <w:rPr>
          <w:b/>
          <w:bCs/>
        </w:rPr>
        <w:t xml:space="preserve">6 Пропагандистские виньетки </w:t>
      </w:r>
      <w:r>
        <w:rPr>
          <w:b/>
          <w:bCs/>
        </w:rPr>
        <w:br/>
        <w:t>6.1 Виньетки Еврейского национального фонда</w:t>
      </w:r>
      <w:r>
        <w:rPr>
          <w:b/>
          <w:bCs/>
        </w:rPr>
        <w:br/>
        <w:t>6.2 Англо-палестинская компания</w:t>
      </w:r>
      <w:r>
        <w:rPr>
          <w:b/>
          <w:bCs/>
        </w:rPr>
        <w:br/>
        <w:t>6.3 Виньетки палестинских организаций</w:t>
      </w:r>
      <w:r>
        <w:rPr>
          <w:b/>
          <w:bCs/>
        </w:rPr>
        <w:br/>
      </w:r>
      <w:r>
        <w:br/>
      </w:r>
      <w:r>
        <w:br/>
      </w:r>
      <w:r>
        <w:rPr>
          <w:b/>
          <w:bCs/>
        </w:rPr>
        <w:t>Список литературы</w:t>
      </w:r>
    </w:p>
    <w:p w:rsidR="0011757F" w:rsidRDefault="00C60F87">
      <w:pPr>
        <w:pStyle w:val="21"/>
        <w:pageBreakBefore/>
        <w:numPr>
          <w:ilvl w:val="0"/>
          <w:numId w:val="0"/>
        </w:numPr>
      </w:pPr>
      <w:r>
        <w:t>Введение</w:t>
      </w:r>
    </w:p>
    <w:p w:rsidR="0011757F" w:rsidRDefault="00C60F87">
      <w:pPr>
        <w:pStyle w:val="a3"/>
      </w:pPr>
      <w:r>
        <w:t>История почты и почтовых марок Палестины связана с её географическим положением на перекрёстке дорог империй древнего Ближнего Востока, Леванта и Среднего Востока. Почтовая связь в регионе впервые возникла в Бронзовом веке, во время правления Саргона Древнего, а последующие империи в течение тысячелетия создали и использовали ряд разных систем почтовой связи.</w:t>
      </w:r>
    </w:p>
    <w:p w:rsidR="0011757F" w:rsidRDefault="00C60F87">
      <w:pPr>
        <w:pStyle w:val="a3"/>
      </w:pPr>
      <w:r>
        <w:t>В эпоху современной почты среди почтовых администрация на территории Палестины были австрийская, французская, итальянская, германская, египетская и российская почтовые отделения (благодаря договоренностям, достигнутым с Османской империей), Египетская экспедиционная армия, Британский мандат, а также различные промежуточные органы в преддверии Арабо-израильской войны 1947—1949 годов и после неё. После 1948 года почтовую связь осуществляли Египет, Иордания, Израиль и Палестинская национальная администрация.</w:t>
      </w:r>
    </w:p>
    <w:p w:rsidR="0011757F" w:rsidRDefault="00C60F87">
      <w:pPr>
        <w:pStyle w:val="a3"/>
      </w:pPr>
      <w:r>
        <w:t>Говоря об истории почты до 1948 года, большинство филателистов называют эту географическую область Палестиной или Святой землёй (</w:t>
      </w:r>
      <w:r>
        <w:rPr>
          <w:i/>
          <w:iCs/>
        </w:rPr>
        <w:t>Holy Land</w:t>
      </w:r>
      <w:r>
        <w:t xml:space="preserve">), хотя некоторые также использует выражение Земля Израильская («Эрец Исраэль», </w:t>
      </w:r>
      <w:r>
        <w:rPr>
          <w:i/>
          <w:iCs/>
        </w:rPr>
        <w:t>Eretz Israel</w:t>
      </w:r>
      <w:r>
        <w:t>). В этой статье рассматривается история почты, которая привела к появлению двух нынешних почтовых администраций региона: почтовой администрации Государства Израиль и почтовой администрации Палестинской национальной администрации.</w:t>
      </w:r>
    </w:p>
    <w:p w:rsidR="0011757F" w:rsidRDefault="00C60F87">
      <w:pPr>
        <w:pStyle w:val="21"/>
        <w:pageBreakBefore/>
        <w:numPr>
          <w:ilvl w:val="0"/>
          <w:numId w:val="0"/>
        </w:numPr>
      </w:pPr>
      <w:r>
        <w:t xml:space="preserve">1. Досовременная история </w:t>
      </w:r>
    </w:p>
    <w:p w:rsidR="0011757F" w:rsidRDefault="00C60F87">
      <w:pPr>
        <w:pStyle w:val="a3"/>
      </w:pPr>
      <w:r>
        <w:t>До современной истории почты власти разных империй организовали механизмы доставки пакетов и писем.</w:t>
      </w:r>
    </w:p>
    <w:p w:rsidR="0011757F" w:rsidRDefault="00C60F87">
      <w:pPr>
        <w:pStyle w:val="31"/>
        <w:numPr>
          <w:ilvl w:val="0"/>
          <w:numId w:val="0"/>
        </w:numPr>
      </w:pPr>
      <w:r>
        <w:t>1.1. Древний мир</w:t>
      </w:r>
    </w:p>
    <w:p w:rsidR="0011757F" w:rsidRDefault="00C60F87">
      <w:pPr>
        <w:pStyle w:val="a3"/>
        <w:rPr>
          <w:position w:val="10"/>
        </w:rPr>
      </w:pPr>
      <w:r>
        <w:t>Самое раннее использование почтовой связи в этом регионе датируется Бронзовым веком, во времена правления Саргона Древнего (2333—2279 до н. э.). Его империю «связывали воедино дороги, по которым осуществлялась регулярная почтовая связь, а глиняные печати, которые применялись вместо марок, сейчас хранятся в Лувре. На них указаны имена Саргона и его сына.»</w:t>
      </w:r>
      <w:r>
        <w:rPr>
          <w:position w:val="10"/>
        </w:rPr>
        <w:t>[1]</w:t>
      </w:r>
    </w:p>
    <w:p w:rsidR="0011757F" w:rsidRDefault="00C60F87">
      <w:pPr>
        <w:pStyle w:val="a3"/>
        <w:rPr>
          <w:position w:val="10"/>
        </w:rPr>
      </w:pPr>
      <w:r>
        <w:t>Во времена правления персов (538—333 до н. э.), обширная сеть дорог, поддерживаемых персидским государством, была частью эффективной имперской почты. Создание почты и улучшение дорожной сети приписывают монарху Дарию I (521—486 до н. э.).</w:t>
      </w:r>
      <w:r>
        <w:rPr>
          <w:position w:val="10"/>
        </w:rPr>
        <w:t>[2]</w:t>
      </w:r>
      <w:r>
        <w:t xml:space="preserve"> Конные курьеры, известные как «быстрые гонцы» (персидский язык:</w:t>
      </w:r>
      <w:r>
        <w:rPr>
          <w:i/>
          <w:iCs/>
        </w:rPr>
        <w:t>pirradaziš</w:t>
      </w:r>
      <w:r>
        <w:t>), перевозили корреспонденцию между королевским двором и провинциями, останавливаясь только чтобы поесть и отдохнуть, и, если надо, сменить лошадей, на станциях снабжения, расположенных примерно на расстоянии одного дня пути друг от друга.</w:t>
      </w:r>
      <w:r>
        <w:rPr>
          <w:position w:val="10"/>
        </w:rPr>
        <w:t>[3]</w:t>
      </w:r>
      <w:r>
        <w:t xml:space="preserve"> Персидская курьерская сеть является фоном для события, описанного в Книге Есфири Ветхого Завета.</w:t>
      </w:r>
      <w:r>
        <w:rPr>
          <w:position w:val="10"/>
        </w:rPr>
        <w:t>[4]</w:t>
      </w:r>
    </w:p>
    <w:p w:rsidR="0011757F" w:rsidRDefault="00C60F87">
      <w:pPr>
        <w:pStyle w:val="31"/>
        <w:numPr>
          <w:ilvl w:val="0"/>
          <w:numId w:val="0"/>
        </w:numPr>
      </w:pPr>
      <w:r>
        <w:t>Арабский халифат (628—1099)</w:t>
      </w:r>
    </w:p>
    <w:p w:rsidR="0011757F" w:rsidRDefault="00C60F87">
      <w:pPr>
        <w:pStyle w:val="a3"/>
        <w:rPr>
          <w:position w:val="10"/>
        </w:rPr>
      </w:pPr>
      <w:r>
        <w:t>Империя Омейядов (661—750), которые ввели «чеканку первых чисто арабских монет» в Палестине, также разработала систему почтовой связи.</w:t>
      </w:r>
      <w:r>
        <w:rPr>
          <w:position w:val="10"/>
        </w:rPr>
        <w:t>[5]</w:t>
      </w:r>
      <w:r>
        <w:t xml:space="preserve"> Караван-сараи, располагавшиеся вдоль главных дорог с севера на юг и с востока на запад и служившие местом отдыха паломников и путешественников, способствовали функционированию почты, известной как «барид» (</w:t>
      </w:r>
      <w:r>
        <w:rPr>
          <w:i/>
          <w:iCs/>
        </w:rPr>
        <w:t>barid</w:t>
      </w:r>
      <w:r>
        <w:t>).</w:t>
      </w:r>
      <w:r>
        <w:rPr>
          <w:position w:val="10"/>
        </w:rPr>
        <w:t>[6]</w:t>
      </w:r>
      <w:r>
        <w:t xml:space="preserve"> Почта, известная под именем «барид» (</w:t>
      </w:r>
      <w:r>
        <w:rPr>
          <w:i/>
          <w:iCs/>
        </w:rPr>
        <w:t>Barīd</w:t>
      </w:r>
      <w:r>
        <w:t xml:space="preserve">) (араб. </w:t>
      </w:r>
      <w:r>
        <w:rPr>
          <w:rtl/>
        </w:rPr>
        <w:t>بريد</w:t>
      </w:r>
      <w:r>
        <w:rPr>
          <w:cs/>
        </w:rPr>
        <w:t>‎‎</w:t>
      </w:r>
      <w:r>
        <w:t>), работала и во времена халифата Аббасидов (750—969), причём этим словом до сих пор называют почту в Арабском мире.</w:t>
      </w:r>
      <w:r>
        <w:rPr>
          <w:position w:val="10"/>
        </w:rPr>
        <w:t>[7][8]</w:t>
      </w:r>
      <w:r>
        <w:t xml:space="preserve"> При Фатимидах (969—1099), работала голубиная почта, впоследствии усовершенствованная мамлюками. Родословные почтовых голубей велись в специальном реестре.</w:t>
      </w:r>
      <w:r>
        <w:rPr>
          <w:position w:val="10"/>
        </w:rPr>
        <w:t>[9]</w:t>
      </w:r>
    </w:p>
    <w:p w:rsidR="0011757F" w:rsidRDefault="00C60F87">
      <w:pPr>
        <w:pStyle w:val="31"/>
        <w:numPr>
          <w:ilvl w:val="0"/>
          <w:numId w:val="0"/>
        </w:numPr>
      </w:pPr>
      <w:r>
        <w:t>Эпоха крестоносцев (1099—1187)</w:t>
      </w:r>
    </w:p>
    <w:p w:rsidR="0011757F" w:rsidRDefault="00C60F87">
      <w:pPr>
        <w:pStyle w:val="a3"/>
      </w:pPr>
      <w:r>
        <w:t>Летописцы Первого крестового похода зафиксировали случайный перехват сообщения, предупреждавшего герцога Кесарии о прибытии крестоносных армий, когда почтовый голубь был убит соколом над военным лагерем крестоносцев в мае 1099 года. В сообщении, написанном на арабском, говорилось следующее</w:t>
      </w:r>
      <w:r>
        <w:rPr>
          <w:position w:val="10"/>
        </w:rPr>
        <w:t>[10]</w:t>
      </w:r>
      <w:r>
        <w:t>:</w:t>
      </w:r>
    </w:p>
    <w:p w:rsidR="0011757F" w:rsidRDefault="00C60F87">
      <w:pPr>
        <w:pStyle w:val="a3"/>
      </w:pPr>
      <w:r>
        <w:t>«</w:t>
      </w:r>
      <w:r>
        <w:rPr>
          <w:i/>
          <w:iCs/>
        </w:rPr>
        <w:t>Привет от короля Акры герцогу Кесарии. Собачье племя, глупый, упрямый, буйный народ, прошёл через мою землю. Если ты ценишь свой образ жизни, ты и твои единоверцы должны нанести им урон, поскольку ты можешь легко делать, что пожелаешь. Передай это сообщение в другие города и крепости.</w:t>
      </w:r>
      <w:r>
        <w:t>»</w:t>
      </w:r>
    </w:p>
    <w:p w:rsidR="0011757F" w:rsidRDefault="00C60F87">
      <w:pPr>
        <w:pStyle w:val="a3"/>
        <w:rPr>
          <w:position w:val="10"/>
        </w:rPr>
      </w:pPr>
      <w:r>
        <w:t>Почтовые голуби использовались в этот период на регулярной основе. Например, Эдвард Гиббон отмечает, что во время осады Акры (1189—1191) крестоносцами жители осаждённого города вели регулярную переписку с войсками султана с помощью почтовых голубей.</w:t>
      </w:r>
      <w:r>
        <w:rPr>
          <w:position w:val="10"/>
        </w:rPr>
        <w:t>[11]</w:t>
      </w:r>
    </w:p>
    <w:p w:rsidR="0011757F" w:rsidRDefault="00C60F87">
      <w:pPr>
        <w:pStyle w:val="31"/>
        <w:numPr>
          <w:ilvl w:val="0"/>
          <w:numId w:val="0"/>
        </w:numPr>
      </w:pPr>
      <w:r>
        <w:t>Правление мамлюков (1270—1516)</w:t>
      </w:r>
    </w:p>
    <w:p w:rsidR="0011757F" w:rsidRDefault="00C60F87">
      <w:pPr>
        <w:pStyle w:val="a3"/>
        <w:rPr>
          <w:position w:val="10"/>
        </w:rPr>
      </w:pPr>
      <w:r>
        <w:t>При правлении мамлюков конная почта работала в Дейр эль-Балахе (Deir el-Balah), Лидде, Ладжуне (Lajjun) и других городах на пути из Каира в Дамаск.</w:t>
      </w:r>
      <w:r>
        <w:rPr>
          <w:position w:val="10"/>
        </w:rPr>
        <w:t>[12]</w:t>
      </w:r>
      <w:r>
        <w:t xml:space="preserve"> Почта, организованная мамлюками, под руководством Бейбарса, была известна как </w:t>
      </w:r>
      <w:r>
        <w:rPr>
          <w:i/>
          <w:iCs/>
        </w:rPr>
        <w:t>Barīd</w:t>
      </w:r>
      <w:r>
        <w:t xml:space="preserve">, как и во времена арабского халифата. Племянник главного секретаря султана Бейбарса приписывал введение и развитие почты </w:t>
      </w:r>
      <w:r>
        <w:rPr>
          <w:i/>
          <w:iCs/>
        </w:rPr>
        <w:t>Barid</w:t>
      </w:r>
      <w:r>
        <w:t xml:space="preserve"> мамлюками рекомендациям своего дяди, ас-Сахиба Шарафа ад-Дина Абу Мухаммеда аль-Вахаба (</w:t>
      </w:r>
      <w:r>
        <w:rPr>
          <w:i/>
          <w:iCs/>
        </w:rPr>
        <w:t>al-Sahib Sharaf al-Din Abu Muhammed Al-Wahab</w:t>
      </w:r>
      <w:r>
        <w:t xml:space="preserve">). Племянник пишет, что в ответ на просьбу Бейбарса информировать его о самых последних новостях о франках и монголах, Аль-Вахаб, «объяснил ему о том, что </w:t>
      </w:r>
      <w:r>
        <w:rPr>
          <w:i/>
          <w:iCs/>
        </w:rPr>
        <w:t>Barīd</w:t>
      </w:r>
      <w:r>
        <w:t xml:space="preserve"> достигла в древние времена и во времена халифов и предложил ему [создать эту почту]; [султану] понравилась эта идея, и [он] распорядился [о её создании].»</w:t>
      </w:r>
      <w:r>
        <w:rPr>
          <w:position w:val="10"/>
        </w:rPr>
        <w:t>[8]</w:t>
      </w:r>
    </w:p>
    <w:p w:rsidR="0011757F" w:rsidRDefault="00C60F87">
      <w:pPr>
        <w:pStyle w:val="a3"/>
        <w:rPr>
          <w:position w:val="10"/>
        </w:rPr>
      </w:pPr>
      <w:r>
        <w:t>После того как мамлюки вытеснили крестоносцев, аннексировали айюбидские княжества и разбили монгольскую армию в Анатолии, Бейбарс создал провинцию Сирия (в состав которой вошла Палестина) со столицей в Дамаске. В этот момент имперские коммуникации через территорию Палестины были настолько эффективны, что Бейбарс мог бы похвалиться, что он может сыграть в поло в Каире и в Дамаске на той же самой неделе. Между этими двумя городами поддерживалась ещё более быстрая связь с помощью голубиной почты.</w:t>
      </w:r>
      <w:r>
        <w:rPr>
          <w:position w:val="10"/>
        </w:rPr>
        <w:t>[13]</w:t>
      </w:r>
      <w:r>
        <w:t xml:space="preserve"> Её роль в организации оборонительного союза против крестоносцев была отмечена Раймундом Агилерским (</w:t>
      </w:r>
      <w:r>
        <w:rPr>
          <w:i/>
          <w:iCs/>
        </w:rPr>
        <w:t>Raymond of Agiles</w:t>
      </w:r>
      <w:r>
        <w:t>), который посчитал, что это довольно «нечестно».</w:t>
      </w:r>
      <w:r>
        <w:rPr>
          <w:position w:val="10"/>
        </w:rPr>
        <w:t>[14]</w:t>
      </w:r>
    </w:p>
    <w:p w:rsidR="0011757F" w:rsidRDefault="00C60F87">
      <w:pPr>
        <w:pStyle w:val="21"/>
        <w:numPr>
          <w:ilvl w:val="0"/>
          <w:numId w:val="0"/>
        </w:numPr>
      </w:pPr>
      <w:r>
        <w:t>Османское правление (1516—1918)</w:t>
      </w:r>
    </w:p>
    <w:p w:rsidR="0011757F" w:rsidRDefault="00C60F87">
      <w:pPr>
        <w:pStyle w:val="31"/>
        <w:numPr>
          <w:ilvl w:val="0"/>
          <w:numId w:val="0"/>
        </w:numPr>
      </w:pPr>
      <w:r>
        <w:t xml:space="preserve">2.1. Почтовая связь в Османской империи </w:t>
      </w:r>
    </w:p>
    <w:p w:rsidR="0011757F" w:rsidRDefault="00C60F87">
      <w:pPr>
        <w:pStyle w:val="a3"/>
      </w:pPr>
      <w:r>
        <w:t>Во время пребывания Палестины в составе Османской империи на её территории были в обращении почтовые марки, выпускаемые османскими властями.</w:t>
      </w:r>
      <w:r>
        <w:rPr>
          <w:position w:val="10"/>
        </w:rPr>
        <w:t>[15]</w:t>
      </w:r>
      <w:r>
        <w:t xml:space="preserve"> В 1834 году после улучшения системы транспорта и связи в Османской империи была создана новая имперская почта. Османские почтовые отделения работали почти во всех крупных городах Палестины, в том числе в Акко, Хайфе, Цфате, Тверии, Наблусе, Иерусалиме, Яффе и Газе.</w:t>
      </w:r>
      <w:r>
        <w:rPr>
          <w:position w:val="10"/>
        </w:rPr>
        <w:t>[16]</w:t>
      </w:r>
      <w:r>
        <w:t xml:space="preserve"> Благодаря работе филателистов-исследователей стало возможным воссоздание достоверного списка почтовых отделений Османской империи в Палестине.</w:t>
      </w:r>
    </w:p>
    <w:p w:rsidR="0011757F" w:rsidRDefault="00C60F87">
      <w:pPr>
        <w:pStyle w:val="a3"/>
        <w:rPr>
          <w:position w:val="10"/>
        </w:rPr>
      </w:pPr>
      <w:r>
        <w:t>Султанский указ от 12 рамазана 1256 года (14 октября 1840 года)</w:t>
      </w:r>
      <w:r>
        <w:rPr>
          <w:position w:val="10"/>
        </w:rPr>
        <w:t>[17]</w:t>
      </w:r>
      <w:r>
        <w:t xml:space="preserve"> привёл к значительному улучшению работы османской почты и созданию сети установленных маршрутов регулярной перевозки корреспонденции конными курьерами («татарами»).</w:t>
      </w:r>
      <w:r>
        <w:rPr>
          <w:position w:val="10"/>
        </w:rPr>
        <w:t>[18]</w:t>
      </w:r>
      <w:r>
        <w:t xml:space="preserve"> Начиная с 1841 года, маршрут на Бейрут был продлён до Палестины и проходил из Бейрута через Дамаск и Акко в Иерусалим.</w:t>
      </w:r>
      <w:r>
        <w:rPr>
          <w:position w:val="10"/>
        </w:rPr>
        <w:t>[19]</w:t>
      </w:r>
    </w:p>
    <w:p w:rsidR="0011757F" w:rsidRDefault="00C60F87">
      <w:pPr>
        <w:pStyle w:val="a3"/>
        <w:rPr>
          <w:position w:val="10"/>
        </w:rPr>
      </w:pPr>
      <w:r>
        <w:t>Почтовая связь на местном уровне организовывалась губернаторами провинций, при этом право взятия её в аренду (</w:t>
      </w:r>
      <w:r>
        <w:rPr>
          <w:i/>
          <w:iCs/>
        </w:rPr>
        <w:t>posta mültesimi</w:t>
      </w:r>
      <w:r>
        <w:t>) ежегодно выставлялось на аукцион в марте.</w:t>
      </w:r>
      <w:r>
        <w:rPr>
          <w:position w:val="10"/>
        </w:rPr>
        <w:t>[18]</w:t>
      </w:r>
      <w:r>
        <w:t xml:space="preserve"> Сообщается, что в 1846 году аренду получили итальянские предприниматели Сантелли (Santelli) и Мичарелли (Micciarelli), которые обслуживали почтовую связь из Иерусалима в Рамле, Яффу, Тир и Сайду.</w:t>
      </w:r>
      <w:r>
        <w:rPr>
          <w:position w:val="10"/>
        </w:rPr>
        <w:t>[20]</w:t>
      </w:r>
      <w:r>
        <w:t xml:space="preserve"> К 1852 году доставка почты осуществлялась еженедельно из Сайды через Тир, Акко (на Бейрут), Хайфу и Яффу в Иерусалим, также с 1856 года добавился Наблус. В том же году открылись два новых маршрута: Иерусалим-Хеврон-Газа и Тверия-Назарет-Шефа-Амр-Акко.</w:t>
      </w:r>
      <w:r>
        <w:rPr>
          <w:position w:val="10"/>
        </w:rPr>
        <w:t>[21]</w:t>
      </w:r>
      <w:r>
        <w:t xml:space="preserve"> В 1867 году почта по маршруту Иерусалим—Яффа доставлялась дважды в неделю, а с 1884 года по маршруту Наблус—Яффа — ежедневно.</w:t>
      </w:r>
      <w:r>
        <w:rPr>
          <w:position w:val="10"/>
        </w:rPr>
        <w:t>[21]</w:t>
      </w:r>
    </w:p>
    <w:p w:rsidR="0011757F" w:rsidRDefault="00C60F87">
      <w:pPr>
        <w:pStyle w:val="a3"/>
        <w:rPr>
          <w:position w:val="10"/>
        </w:rPr>
      </w:pPr>
      <w:r>
        <w:t>В последнее столетие османского правления помимо государственной почты Османской империи на её территории было разрешено осуществлять почтовую связь ещё до шести иностранным государствам. В основе таких прав лежали Капитуляции Османской империи (Ottoman capitulations) и другие двусторонние международные договоры.</w:t>
      </w:r>
      <w:r>
        <w:rPr>
          <w:position w:val="10"/>
        </w:rPr>
        <w:t>[22]</w:t>
      </w:r>
      <w:r>
        <w:t xml:space="preserve"> В начале Первой мировой войны османские власти аннулировали специальные почтовые права, которые имели эти иностранные государства на территории империи. С 1900 года и до окончания войны гражданам Османской империи, в том числе и проживающим в Палестине, запрещалось пользоваться услугами иностранных почтовых отделений.</w:t>
      </w:r>
      <w:r>
        <w:rPr>
          <w:position w:val="10"/>
        </w:rPr>
        <w:t>[22][23]</w:t>
      </w:r>
    </w:p>
    <w:p w:rsidR="0011757F" w:rsidRDefault="00C60F87">
      <w:pPr>
        <w:pStyle w:val="a3"/>
      </w:pPr>
      <w:r>
        <w:t>В путеводителе «</w:t>
      </w:r>
      <w:r>
        <w:rPr>
          <w:i/>
          <w:iCs/>
        </w:rPr>
        <w:t>A Handbook for Travellers in Syria and Palestine</w:t>
      </w:r>
      <w:r>
        <w:t>» (1858), Josias Leslie Porter описывает османскую почту того времени</w:t>
      </w:r>
      <w:r>
        <w:rPr>
          <w:position w:val="10"/>
        </w:rPr>
        <w:t>[24]</w:t>
      </w:r>
      <w:r>
        <w:t>:</w:t>
      </w:r>
    </w:p>
    <w:p w:rsidR="0011757F" w:rsidRDefault="00C60F87">
      <w:pPr>
        <w:pStyle w:val="41"/>
        <w:numPr>
          <w:ilvl w:val="0"/>
          <w:numId w:val="0"/>
        </w:numPr>
      </w:pPr>
      <w:r>
        <w:t>Почтовые отделения Османской империи</w:t>
      </w:r>
    </w:p>
    <w:p w:rsidR="0011757F" w:rsidRDefault="00C60F87">
      <w:pPr>
        <w:pStyle w:val="a3"/>
        <w:rPr>
          <w:position w:val="10"/>
        </w:rPr>
      </w:pPr>
      <w:r>
        <w:t>Первоначально все почтовые конторы имели статус промежуточных станций, и письма гасились почтовыми штемпелями только в почтовом отделении Бейрута, с единственным исключением: считается, что отметки «Джебель Любнан» (</w:t>
      </w:r>
      <w:r>
        <w:rPr>
          <w:i/>
          <w:iCs/>
        </w:rPr>
        <w:t>Djebel Lubnan</w:t>
      </w:r>
      <w:r>
        <w:t>)</w:t>
      </w:r>
      <w:r>
        <w:rPr>
          <w:position w:val="10"/>
        </w:rPr>
        <w:t>[27]</w:t>
      </w:r>
      <w:r>
        <w:t xml:space="preserve"> ставились на промежуточной станции Стаура (</w:t>
      </w:r>
      <w:r>
        <w:rPr>
          <w:i/>
          <w:iCs/>
        </w:rPr>
        <w:t>Staura</w:t>
      </w:r>
      <w:r>
        <w:t>, Ливан). В 1860-е годы большинство промежуточных станций стали почтовыми отделениями и обзавелись собственными почтовыми штемпелями, вначале только штампами-негативами (на оттисках текст остаётся неокрашенным и выглядит как белые буквы на тёмном фоне).</w:t>
      </w:r>
      <w:r>
        <w:rPr>
          <w:position w:val="10"/>
        </w:rPr>
        <w:t>[28]</w:t>
      </w:r>
      <w:r>
        <w:t xml:space="preserve"> Почтовые штемпели почтового отдела почтового отделения, как правило, содержали слова «</w:t>
      </w:r>
      <w:r>
        <w:rPr>
          <w:i/>
          <w:iCs/>
        </w:rPr>
        <w:t>posta shubesi</w:t>
      </w:r>
      <w:r>
        <w:t>», в отличие от слов «</w:t>
      </w:r>
      <w:r>
        <w:rPr>
          <w:i/>
          <w:iCs/>
        </w:rPr>
        <w:t>telegraf hanei</w:t>
      </w:r>
      <w:r>
        <w:t>» на штемпелях телеграфного отдела. В 1860 году на территории Палестины работало десять почтовых контор. В 1900 году их стало 20, а в 1917 году — 32. Почтовые вагоны имелись на трёх маршрутах: Яффа — Иерусалим,</w:t>
      </w:r>
      <w:r>
        <w:rPr>
          <w:position w:val="10"/>
        </w:rPr>
        <w:t>[23]</w:t>
      </w:r>
      <w:r>
        <w:t xml:space="preserve"> Дамаск — Хайфа,</w:t>
      </w:r>
      <w:r>
        <w:rPr>
          <w:position w:val="10"/>
        </w:rPr>
        <w:t>[29]</w:t>
      </w:r>
      <w:r>
        <w:t xml:space="preserve"> и Мессудши — Наблус.</w:t>
      </w:r>
      <w:r>
        <w:rPr>
          <w:position w:val="10"/>
        </w:rPr>
        <w:t>[30][31]</w:t>
      </w:r>
      <w:r>
        <w:t xml:space="preserve"> На других маршрутах почтовые штемпели почтовых вагонов неизвестны.</w:t>
      </w:r>
      <w:r>
        <w:rPr>
          <w:position w:val="10"/>
        </w:rPr>
        <w:t>[29]</w:t>
      </w:r>
    </w:p>
    <w:p w:rsidR="0011757F" w:rsidRDefault="00C60F87">
      <w:pPr>
        <w:pStyle w:val="41"/>
        <w:numPr>
          <w:ilvl w:val="0"/>
          <w:numId w:val="0"/>
        </w:numPr>
      </w:pPr>
      <w:r>
        <w:t>Почтовые тарифы Османской империи (1840—1918)</w:t>
      </w:r>
    </w:p>
    <w:p w:rsidR="0011757F" w:rsidRDefault="00C60F87">
      <w:pPr>
        <w:pStyle w:val="a3"/>
      </w:pPr>
      <w:r>
        <w:t>Султанский указ от 12 рамазана 1256 года</w:t>
      </w:r>
      <w:r>
        <w:rPr>
          <w:position w:val="10"/>
        </w:rPr>
        <w:t>[17]</w:t>
      </w:r>
      <w:r>
        <w:t xml:space="preserve"> и более поздние постановления проводили различие между тремя видами почтовых отправлений: простые письма, заказные письма (пометки </w:t>
      </w:r>
      <w:r>
        <w:rPr>
          <w:i/>
          <w:iCs/>
        </w:rPr>
        <w:t>te’ahudd olunmoshdur</w:t>
      </w:r>
      <w:r>
        <w:t xml:space="preserve">), и служебные письма (пометки </w:t>
      </w:r>
      <w:r>
        <w:rPr>
          <w:i/>
          <w:iCs/>
        </w:rPr>
        <w:t>tahirat-i mühümme</w:t>
      </w:r>
      <w:r>
        <w:t>).</w:t>
      </w:r>
      <w:r>
        <w:rPr>
          <w:position w:val="10"/>
        </w:rPr>
        <w:t>[32]</w:t>
      </w:r>
      <w:r>
        <w:t xml:space="preserve"> Суммы почтового сбора рассчитывались по виду почтового отправления, его весу и расстоянию (измерялось в часах): в 1840 году стоимость пересылки простого письма весом менее 10 г составляла за один час 1 пара (para).</w:t>
      </w:r>
      <w:r>
        <w:rPr>
          <w:position w:val="10"/>
        </w:rPr>
        <w:t>[33][34]</w:t>
      </w:r>
      <w:r>
        <w:t xml:space="preserve"> Специальный почтовый сбор взимался за пересылку образцов, ценных писем, спешной почты, печатных изданий и т. п.</w:t>
      </w:r>
      <w:r>
        <w:rPr>
          <w:position w:val="10"/>
        </w:rPr>
        <w:t>[33]</w:t>
      </w:r>
      <w:r>
        <w:t xml:space="preserve"> Размеры почтового сбора часто менялись, при этом с годами вводились новые почтовые услуги. После вступления Османской империи во Всемирный почтовый союз 1 июля 1875 года, её международные тарифы были приведены в соответствие правилам ВПС.</w:t>
      </w:r>
    </w:p>
    <w:p w:rsidR="0011757F" w:rsidRDefault="00C60F87">
      <w:pPr>
        <w:pStyle w:val="31"/>
        <w:numPr>
          <w:ilvl w:val="0"/>
          <w:numId w:val="0"/>
        </w:numPr>
      </w:pPr>
      <w:r>
        <w:t xml:space="preserve">2.2. Иностранные почтовые отделения </w:t>
      </w:r>
    </w:p>
    <w:p w:rsidR="0011757F" w:rsidRDefault="00C60F87">
      <w:pPr>
        <w:pStyle w:val="a3"/>
        <w:rPr>
          <w:position w:val="10"/>
        </w:rPr>
      </w:pPr>
      <w:r>
        <w:t>Австрия и Франция получили разрешение на оказание почтовых услуг в главных городах Османской империи уже в 1837 году. В 1852 году обе эти страны открыли заграничные почтовые отделения в главных городах Палестины. За ними последовали другие европейские страны: Россия в 1856 году, Германия в 1898 году и Италия в 1908 году. Заграничные почтовые отделения способствовали поддерживанию семейных и социальных связей и переводу денег из Европы в Святую землю.</w:t>
      </w:r>
      <w:r>
        <w:rPr>
          <w:position w:val="10"/>
        </w:rPr>
        <w:t>[16]</w:t>
      </w:r>
    </w:p>
    <w:p w:rsidR="0011757F" w:rsidRDefault="00C60F87">
      <w:pPr>
        <w:pStyle w:val="41"/>
        <w:numPr>
          <w:ilvl w:val="0"/>
          <w:numId w:val="0"/>
        </w:numPr>
      </w:pPr>
      <w:r>
        <w:t>Российские</w:t>
      </w:r>
    </w:p>
    <w:p w:rsidR="0011757F" w:rsidRDefault="00C60F87">
      <w:pPr>
        <w:pStyle w:val="a3"/>
        <w:rPr>
          <w:position w:val="10"/>
        </w:rPr>
      </w:pPr>
      <w:r>
        <w:t>В начале XIX века русские проложили судоходные маршруты в восточном средиземноморье и наладили почтовую связь. Русская почта в Османской империи начала работать в 1856 году с помощью «Русского общества пароходства и торговли» (РОПиТ). РОПиТ переправляло почту между различными почтовыми отделениями и направляло её в Россию через Одессу, при этом в 1863 году его почтовые отделения были приравнены к обычным почтовым отделениям в России.</w:t>
      </w:r>
      <w:r>
        <w:rPr>
          <w:position w:val="10"/>
        </w:rPr>
        <w:t>[35]</w:t>
      </w:r>
      <w:r>
        <w:t xml:space="preserve"> Судоходно-почтовые конторы РОПиТа работали в Акке (1868—1873), Хайфе (1859—1860, 1906—1914), Яффе (1857—1914) и Иерусалиме (1901—1914).</w:t>
      </w:r>
      <w:r>
        <w:rPr>
          <w:position w:val="10"/>
        </w:rPr>
        <w:t>[36][37]</w:t>
      </w:r>
    </w:p>
    <w:p w:rsidR="0011757F" w:rsidRDefault="00C60F87">
      <w:pPr>
        <w:pStyle w:val="41"/>
        <w:numPr>
          <w:ilvl w:val="0"/>
          <w:numId w:val="0"/>
        </w:numPr>
      </w:pPr>
      <w:r>
        <w:t>Австрийские</w:t>
      </w:r>
    </w:p>
    <w:p w:rsidR="0011757F" w:rsidRDefault="0011757F">
      <w:pPr>
        <w:pStyle w:val="a3"/>
      </w:pPr>
    </w:p>
    <w:p w:rsidR="0011757F" w:rsidRDefault="00C60F87">
      <w:pPr>
        <w:pStyle w:val="a3"/>
        <w:rPr>
          <w:position w:val="10"/>
        </w:rPr>
      </w:pPr>
      <w:r>
        <w:t>Австрийская империя создала почту в Средиземноморье с помощью пароходной компании «Ллойд Австриако» (</w:t>
      </w:r>
      <w:r>
        <w:rPr>
          <w:i/>
          <w:iCs/>
        </w:rPr>
        <w:t>Lloyd Austriaco</w:t>
      </w:r>
      <w:r>
        <w:t>). Почтовые учреждения Ллойда работали в Яффе (1854), Хайфе (1854) и Иерусалиме (1852).</w:t>
      </w:r>
      <w:r>
        <w:rPr>
          <w:position w:val="10"/>
        </w:rPr>
        <w:t>[38][39]</w:t>
      </w:r>
      <w:r>
        <w:t xml:space="preserve"> Эти три учреждения позднее стали «отделениями Австрийской императорской и королевской почты»: Иерусалим (март 1859), Яффа и Хайфа (1 февраля 1858).</w:t>
      </w:r>
      <w:r>
        <w:rPr>
          <w:position w:val="10"/>
        </w:rPr>
        <w:t>[40]</w:t>
      </w:r>
      <w:r>
        <w:t xml:space="preserve"> Агентства по сбору и пересылке писем существовали в Меа-Шеариме (Иерусалим), Сафеде и Тверии.</w:t>
      </w:r>
      <w:r>
        <w:rPr>
          <w:position w:val="10"/>
        </w:rPr>
        <w:t>[41][42]</w:t>
      </w:r>
      <w:r>
        <w:t xml:space="preserve"> Сафед и Тиверия обслуживались частной курьерской службой, организуемой через местного австрийского консульского агента.</w:t>
      </w:r>
      <w:r>
        <w:rPr>
          <w:position w:val="10"/>
        </w:rPr>
        <w:t>[43]</w:t>
      </w:r>
      <w:r>
        <w:t xml:space="preserve"> Назарет и Вифлеем никогда не входили в сферу действия австрийцев, поэтому такие штампы, обнаруживаемые на почтовых материалах, и транспортировка таких писем в Иерусалим организовывались исключительно частынм образом.</w:t>
      </w:r>
      <w:r>
        <w:rPr>
          <w:position w:val="10"/>
        </w:rPr>
        <w:t>[44]</w:t>
      </w:r>
    </w:p>
    <w:p w:rsidR="0011757F" w:rsidRDefault="00C60F87">
      <w:pPr>
        <w:pStyle w:val="a3"/>
        <w:rPr>
          <w:position w:val="10"/>
        </w:rPr>
      </w:pPr>
      <w:r>
        <w:t>В ряде еврейских поселений местные торговцы или чиновники выступали в роли вспомогательных агентов по сбору и хранению почты: Гедера, Хадера, Кастинийе (</w:t>
      </w:r>
      <w:r>
        <w:rPr>
          <w:i/>
          <w:iCs/>
        </w:rPr>
        <w:t>Kastinie</w:t>
      </w:r>
      <w:r>
        <w:t>) или Бер Тувия (Ber Tuviya), Петах-Тиква, Реховот, Ришон-ле-Цион, Явнеель (</w:t>
      </w:r>
      <w:r>
        <w:rPr>
          <w:i/>
          <w:iCs/>
        </w:rPr>
        <w:t>Yavne’el</w:t>
      </w:r>
      <w:r>
        <w:t>), Зихрон-Яаков.</w:t>
      </w:r>
      <w:r>
        <w:rPr>
          <w:position w:val="10"/>
        </w:rPr>
        <w:t>[45][46][47]</w:t>
      </w:r>
      <w:r>
        <w:t xml:space="preserve"> По специальной договоренности, чтобы поощрять к использованию австрийской почты для пересылки корреспонденции за границу, австрийская почта осуществляла доставку писем и открыток между упомянутыми еврейскими поселениями бесплатно.</w:t>
      </w:r>
      <w:r>
        <w:rPr>
          <w:position w:val="10"/>
        </w:rPr>
        <w:t>[48]</w:t>
      </w:r>
      <w:r>
        <w:t xml:space="preserve"> В использовании местных виньеток или виньеток Еврейского национального фонда (</w:t>
      </w:r>
      <w:r>
        <w:rPr>
          <w:i/>
          <w:iCs/>
        </w:rPr>
        <w:t>JNF</w:t>
      </w:r>
      <w:r>
        <w:t>) на таких почтовых отправлениях не было никакой нужды, поэтому они известны только на почтовых отправлениях филателистического характера.</w:t>
      </w:r>
      <w:r>
        <w:rPr>
          <w:position w:val="10"/>
        </w:rPr>
        <w:t>[49]</w:t>
      </w:r>
    </w:p>
    <w:p w:rsidR="0011757F" w:rsidRDefault="00C60F87">
      <w:pPr>
        <w:pStyle w:val="a3"/>
        <w:rPr>
          <w:position w:val="10"/>
        </w:rPr>
      </w:pPr>
      <w:r>
        <w:t>В обращении находились австрийские почтовые марки, выпущенные для Ломбардо-Венецианского королевства, а после 1867 года — марки австрийского Леванта.</w:t>
      </w:r>
      <w:r>
        <w:rPr>
          <w:position w:val="10"/>
        </w:rPr>
        <w:t>[50]</w:t>
      </w:r>
    </w:p>
    <w:p w:rsidR="0011757F" w:rsidRDefault="00C60F87">
      <w:pPr>
        <w:pStyle w:val="41"/>
        <w:numPr>
          <w:ilvl w:val="0"/>
          <w:numId w:val="0"/>
        </w:numPr>
      </w:pPr>
      <w:r>
        <w:t>Французские</w:t>
      </w:r>
    </w:p>
    <w:p w:rsidR="0011757F" w:rsidRDefault="00C60F87">
      <w:pPr>
        <w:pStyle w:val="a3"/>
        <w:rPr>
          <w:position w:val="10"/>
        </w:rPr>
      </w:pPr>
      <w:r>
        <w:t>Франция имела ряд почтовых отделений в Османской империи, зачастую работавших при французских консульствах в соответствующих городах. На территории Палестины работали три почтовых отделения: в Яффе (1852), Иерусалиме (1890) и Хайфе (1906).</w:t>
      </w:r>
      <w:r>
        <w:rPr>
          <w:position w:val="10"/>
        </w:rPr>
        <w:t>[51][52]</w:t>
      </w:r>
      <w:r>
        <w:t xml:space="preserve"> В обращении были обычные французские почтовые марки, после 1885 года — марки с надпечаткой османской валюты, а с 1902 года — также почтовые марки французского Леванта.</w:t>
      </w:r>
      <w:r>
        <w:rPr>
          <w:position w:val="10"/>
        </w:rPr>
        <w:t>[52][53]</w:t>
      </w:r>
      <w:r>
        <w:t xml:space="preserve"> Французскую почту Портер описывал как «быструю и надежную, хотя и с частыми изменениями».</w:t>
      </w:r>
      <w:r>
        <w:rPr>
          <w:position w:val="10"/>
        </w:rPr>
        <w:t>[24]</w:t>
      </w:r>
      <w:r>
        <w:t xml:space="preserve"> Французские почтовые пароходы компании </w:t>
      </w:r>
      <w:r>
        <w:rPr>
          <w:i/>
          <w:iCs/>
        </w:rPr>
        <w:t>Compagnie des Services Maritimes des Messageries Nationales</w:t>
      </w:r>
      <w:r>
        <w:rPr>
          <w:position w:val="10"/>
        </w:rPr>
        <w:t>[54]</w:t>
      </w:r>
      <w:r>
        <w:t xml:space="preserve">, известные как </w:t>
      </w:r>
      <w:r>
        <w:rPr>
          <w:i/>
          <w:iCs/>
        </w:rPr>
        <w:t>Messagerie Imperiale</w:t>
      </w:r>
      <w:r>
        <w:t xml:space="preserve"> («Почтовые линии»),</w:t>
      </w:r>
      <w:r>
        <w:rPr>
          <w:position w:val="10"/>
        </w:rPr>
        <w:t>[55]</w:t>
      </w:r>
      <w:r>
        <w:t xml:space="preserve"> каждые две недели отправлялись от берегов Сирии в Александрию и Контантинополь. Из портов Александретты, Латакии, Триполи, Бейрута и Яффы письма можно было отправлять в Италию, Францию, Англию или Америку.</w:t>
      </w:r>
      <w:r>
        <w:rPr>
          <w:position w:val="10"/>
        </w:rPr>
        <w:t>[24]</w:t>
      </w:r>
    </w:p>
    <w:p w:rsidR="0011757F" w:rsidRDefault="00C60F87">
      <w:pPr>
        <w:pStyle w:val="41"/>
        <w:numPr>
          <w:ilvl w:val="0"/>
          <w:numId w:val="0"/>
        </w:numPr>
      </w:pPr>
      <w:r>
        <w:t>Германские</w:t>
      </w:r>
    </w:p>
    <w:p w:rsidR="0011757F" w:rsidRDefault="00C60F87">
      <w:pPr>
        <w:pStyle w:val="a3"/>
      </w:pPr>
      <w:r>
        <w:t>Германская империя открыла своё первое почтовое отделение 1 октября 1898 года в Яффе. 1 марта 1900 года открылось отделение в Иерусалиме.</w:t>
      </w:r>
      <w:r>
        <w:rPr>
          <w:position w:val="10"/>
        </w:rPr>
        <w:t>[56][57]</w:t>
      </w:r>
      <w:r>
        <w:t xml:space="preserve"> Оба они были закрыты в сентябре 1914 года после начала Первой мировой войны.</w:t>
      </w:r>
    </w:p>
    <w:p w:rsidR="0011757F" w:rsidRDefault="00C60F87">
      <w:pPr>
        <w:pStyle w:val="a3"/>
        <w:rPr>
          <w:position w:val="10"/>
        </w:rPr>
      </w:pPr>
      <w:r>
        <w:t>Вспомогательные бюро по сбору почтовых отправлений имелись в Рамле (1902), Ришон ЛеЦионе (1905), Вильгельме-Хамидийе (</w:t>
      </w:r>
      <w:r>
        <w:rPr>
          <w:i/>
          <w:iCs/>
        </w:rPr>
        <w:t>Wilhelma Hamidije</w:t>
      </w:r>
      <w:r>
        <w:t>; 1905), Сароне (</w:t>
      </w:r>
      <w:r>
        <w:rPr>
          <w:i/>
          <w:iCs/>
        </w:rPr>
        <w:t>Sarona</w:t>
      </w:r>
      <w:r>
        <w:t>; 1910), Эммаусе (</w:t>
      </w:r>
      <w:r>
        <w:rPr>
          <w:i/>
          <w:iCs/>
        </w:rPr>
        <w:t>Emmaus</w:t>
      </w:r>
      <w:r>
        <w:t>; 1909), Себил-Абу-Неббуте (</w:t>
      </w:r>
      <w:r>
        <w:rPr>
          <w:i/>
          <w:iCs/>
        </w:rPr>
        <w:t>Sebil Abu Nebbut</w:t>
      </w:r>
      <w:r>
        <w:t>; 1902, карантинный пункт на границе города Яффа) и в Яффских воротах Иерусалима.</w:t>
      </w:r>
      <w:r>
        <w:rPr>
          <w:position w:val="10"/>
        </w:rPr>
        <w:t>[58]</w:t>
      </w:r>
      <w:r>
        <w:t xml:space="preserve"> Пункты сбора почты также присутствовали в Бейт-Джале, Вифлееме, Хевроне и Рамалле.</w:t>
      </w:r>
      <w:r>
        <w:rPr>
          <w:position w:val="10"/>
        </w:rPr>
        <w:t>[59]</w:t>
      </w:r>
      <w:r>
        <w:t xml:space="preserve"> В обращении находилилсь обычные германские почтовые марки, а также марки с надпечаткой номинала в османской</w:t>
      </w:r>
      <w:r>
        <w:rPr>
          <w:position w:val="10"/>
        </w:rPr>
        <w:t>[60]</w:t>
      </w:r>
      <w:r>
        <w:t xml:space="preserve"> и французской валютах</w:t>
      </w:r>
      <w:r>
        <w:rPr>
          <w:position w:val="10"/>
        </w:rPr>
        <w:t>[61]</w:t>
      </w:r>
      <w:r>
        <w:t>.</w:t>
      </w:r>
      <w:r>
        <w:rPr>
          <w:position w:val="10"/>
        </w:rPr>
        <w:t>[62]</w:t>
      </w:r>
      <w:r>
        <w:t xml:space="preserve"> Гашение почтовых марок производилось только в трёх упомянутых почтовых отделениях, на почтовых отправлениях из бюро ставились прямоугольные штампы.</w:t>
      </w:r>
      <w:r>
        <w:rPr>
          <w:position w:val="10"/>
        </w:rPr>
        <w:t>[63]</w:t>
      </w:r>
    </w:p>
    <w:p w:rsidR="0011757F" w:rsidRDefault="00C60F87">
      <w:pPr>
        <w:pStyle w:val="41"/>
        <w:numPr>
          <w:ilvl w:val="0"/>
          <w:numId w:val="0"/>
        </w:numPr>
      </w:pPr>
      <w:r>
        <w:t>Итальянские</w:t>
      </w:r>
    </w:p>
    <w:p w:rsidR="0011757F" w:rsidRDefault="00C60F87">
      <w:pPr>
        <w:pStyle w:val="a3"/>
        <w:rPr>
          <w:position w:val="10"/>
        </w:rPr>
      </w:pPr>
      <w:r>
        <w:t>Итальянское почтовое отделение в Иерусалиме открылось 1 июня 1908 года. Временно закрытое с 1 октября 1911 года по 30 ноября 1912 года, оно работало до 30 сентября 1914 года.</w:t>
      </w:r>
      <w:r>
        <w:rPr>
          <w:position w:val="10"/>
        </w:rPr>
        <w:t>[64][65]</w:t>
      </w:r>
      <w:r>
        <w:t xml:space="preserve"> В обращении находились обычные почтовые марки Италии (без надпечаток), марки с надпечатками номинала в турецкой валюте марки с надпечаткой итал. «Gerusalemme» (Иерусалим).</w:t>
      </w:r>
      <w:r>
        <w:rPr>
          <w:position w:val="10"/>
        </w:rPr>
        <w:t>[66][67][68]</w:t>
      </w:r>
    </w:p>
    <w:p w:rsidR="0011757F" w:rsidRDefault="00C60F87">
      <w:pPr>
        <w:pStyle w:val="41"/>
        <w:numPr>
          <w:ilvl w:val="0"/>
          <w:numId w:val="0"/>
        </w:numPr>
      </w:pPr>
      <w:r>
        <w:t>Египетские</w:t>
      </w:r>
    </w:p>
    <w:p w:rsidR="0011757F" w:rsidRDefault="00C60F87">
      <w:pPr>
        <w:pStyle w:val="a3"/>
        <w:rPr>
          <w:position w:val="10"/>
        </w:rPr>
      </w:pPr>
      <w:r>
        <w:t>Почтовое отделение Египта работало в Яффе с июля 1870 года по февраль 1872 года.</w:t>
      </w:r>
      <w:r>
        <w:rPr>
          <w:position w:val="10"/>
        </w:rPr>
        <w:t>[69]</w:t>
      </w:r>
      <w:r>
        <w:t xml:space="preserve"> Надпись на почтовом штемпеле: «</w:t>
      </w:r>
      <w:r>
        <w:rPr>
          <w:i/>
          <w:iCs/>
        </w:rPr>
        <w:t>V.R. Poste Egiziane Iaffa</w:t>
      </w:r>
      <w:r>
        <w:t>».</w:t>
      </w:r>
      <w:r>
        <w:rPr>
          <w:position w:val="10"/>
        </w:rPr>
        <w:t>[70]</w:t>
      </w:r>
      <w:r>
        <w:t xml:space="preserve"> Также существует штамп Интерпостал для Яффы.</w:t>
      </w:r>
      <w:r>
        <w:rPr>
          <w:position w:val="10"/>
        </w:rPr>
        <w:t>[71][72][73]</w:t>
      </w:r>
    </w:p>
    <w:p w:rsidR="0011757F" w:rsidRDefault="00C60F87">
      <w:pPr>
        <w:pStyle w:val="41"/>
        <w:numPr>
          <w:ilvl w:val="0"/>
          <w:numId w:val="0"/>
        </w:numPr>
      </w:pPr>
      <w:r>
        <w:t>Прочие</w:t>
      </w:r>
    </w:p>
    <w:p w:rsidR="0011757F" w:rsidRDefault="00C60F87">
      <w:pPr>
        <w:pStyle w:val="a3"/>
        <w:rPr>
          <w:position w:val="10"/>
        </w:rPr>
      </w:pPr>
      <w:r>
        <w:t>Англичане, путешествующие в этом регионе, могли получать почту из-за рубежа, если она была адресована английским консулам в Бейруте, Алеппо, Иерусалиме или Дамаске, либо какому-либо купцу или банкиру.</w:t>
      </w:r>
      <w:r>
        <w:rPr>
          <w:position w:val="10"/>
        </w:rPr>
        <w:t>[24]</w:t>
      </w:r>
    </w:p>
    <w:p w:rsidR="0011757F" w:rsidRDefault="00C60F87">
      <w:pPr>
        <w:pStyle w:val="21"/>
        <w:numPr>
          <w:ilvl w:val="0"/>
          <w:numId w:val="0"/>
        </w:numPr>
      </w:pPr>
      <w:r>
        <w:t>Британская военная и гражданская администрация (1917—1948)</w:t>
      </w:r>
    </w:p>
    <w:p w:rsidR="0011757F" w:rsidRDefault="00C60F87">
      <w:pPr>
        <w:pStyle w:val="31"/>
        <w:numPr>
          <w:ilvl w:val="0"/>
          <w:numId w:val="0"/>
        </w:numPr>
      </w:pPr>
      <w:r>
        <w:t>Почтовые марки и почта британской Египетской экспедиционной армии (1917—1920)</w:t>
      </w:r>
    </w:p>
    <w:p w:rsidR="0011757F" w:rsidRDefault="00C60F87">
      <w:pPr>
        <w:pStyle w:val="a3"/>
        <w:rPr>
          <w:position w:val="10"/>
        </w:rPr>
      </w:pPr>
      <w:r>
        <w:t>В ноябре 1917 года британская Египетская экспедиционная армия оккупировала Палестину.</w:t>
      </w:r>
      <w:r>
        <w:rPr>
          <w:position w:val="10"/>
        </w:rPr>
        <w:t>[74][75]</w:t>
      </w:r>
      <w:r>
        <w:t xml:space="preserve"> Вначале Египетская экспедиционная армия (и Индийская экспедиционная армия) оказывали гражданскому населению базовые почтовые услуги бесплатно, при этом дополнительные услуги оплачивались британскими или индийскими почтовыми марками.</w:t>
      </w:r>
      <w:r>
        <w:rPr>
          <w:position w:val="10"/>
        </w:rPr>
        <w:t>[74]</w:t>
      </w:r>
      <w:r>
        <w:t xml:space="preserve"> От бесплатной пересылки писем отказались, напечатав соответствующие почтовые марки.</w:t>
      </w:r>
      <w:r>
        <w:rPr>
          <w:position w:val="10"/>
        </w:rPr>
        <w:t>[76][77]</w:t>
      </w:r>
      <w:r>
        <w:t xml:space="preserve"> Две марки с надписью «</w:t>
      </w:r>
      <w:r>
        <w:rPr>
          <w:i/>
          <w:iCs/>
        </w:rPr>
        <w:t>E.E.F.</w:t>
      </w:r>
      <w:r>
        <w:t xml:space="preserve">» (сокр. от </w:t>
      </w:r>
      <w:r>
        <w:rPr>
          <w:i/>
          <w:iCs/>
        </w:rPr>
        <w:t>Egyptian Expeditionary Force</w:t>
      </w:r>
      <w:r>
        <w:t>, Египетская экспедиционная армия) номиналом 1 пиастр и 5 миллиемов были эмитированы в феврале 1918 года,</w:t>
      </w:r>
      <w:r>
        <w:rPr>
          <w:position w:val="10"/>
        </w:rPr>
        <w:t>[78][79]</w:t>
      </w:r>
      <w:r>
        <w:t xml:space="preserve"> первые стандартные марки (11 номиналов) вышли в обращение с июня 1918 года.</w:t>
      </w:r>
      <w:r>
        <w:rPr>
          <w:position w:val="10"/>
        </w:rPr>
        <w:t>[80][81]</w:t>
      </w:r>
      <w:r>
        <w:t xml:space="preserve"> Эти марки египетской экспедиционной армии были в употреблении на территории Палестины, Киликии,</w:t>
      </w:r>
      <w:r>
        <w:rPr>
          <w:position w:val="10"/>
        </w:rPr>
        <w:t>[82]</w:t>
      </w:r>
      <w:r>
        <w:t xml:space="preserve"> Сирии, Ливана и Трансиордании (</w:t>
      </w:r>
      <w:r>
        <w:rPr>
          <w:i/>
          <w:iCs/>
        </w:rPr>
        <w:t>Transjordan</w:t>
      </w:r>
      <w:r>
        <w:t>).</w:t>
      </w:r>
      <w:r>
        <w:rPr>
          <w:position w:val="10"/>
        </w:rPr>
        <w:t>[83]</w:t>
      </w:r>
      <w:r>
        <w:t xml:space="preserve"> До Британского мандата в Палестине иврит не был официальным языком, поэтому на этих марках, помимо английского надписи были только на арабском языке.</w:t>
      </w:r>
      <w:r>
        <w:rPr>
          <w:position w:val="10"/>
        </w:rPr>
        <w:t>[84]</w:t>
      </w:r>
    </w:p>
    <w:p w:rsidR="0011757F" w:rsidRDefault="00C60F87">
      <w:pPr>
        <w:pStyle w:val="31"/>
        <w:numPr>
          <w:ilvl w:val="0"/>
          <w:numId w:val="0"/>
        </w:numPr>
      </w:pPr>
      <w:r>
        <w:t>Британский мандат (1920—1948)</w:t>
      </w:r>
    </w:p>
    <w:p w:rsidR="0011757F" w:rsidRDefault="00C60F87">
      <w:pPr>
        <w:pStyle w:val="a3"/>
        <w:rPr>
          <w:position w:val="10"/>
        </w:rPr>
      </w:pPr>
      <w:r>
        <w:t>В 1920 году Трансиордания была отделена, и в почтовом обращении появились различительные надпечатки для обеих территорий.</w:t>
      </w:r>
      <w:r>
        <w:rPr>
          <w:position w:val="10"/>
        </w:rPr>
        <w:t>[85][86]</w:t>
      </w:r>
    </w:p>
    <w:p w:rsidR="0011757F" w:rsidRDefault="00C60F87">
      <w:pPr>
        <w:pStyle w:val="a3"/>
      </w:pPr>
      <w:r>
        <w:t>Когда Палестина перешла в ведение гражданской администрации Британского мандата в Палестине[i],</w:t>
      </w:r>
      <w:r>
        <w:rPr>
          <w:position w:val="10"/>
        </w:rPr>
        <w:t>[85]</w:t>
      </w:r>
      <w:r>
        <w:t xml:space="preserve"> в соответствии с правилами Лиги Наций Верховный комиссар разрешил выпуск почтовых марок и монет с текстами на трёх официальных языках Британского мандата в Палестине: английском, арабском и иврите.</w:t>
      </w:r>
      <w:r>
        <w:rPr>
          <w:position w:val="10"/>
        </w:rPr>
        <w:t>[87]</w:t>
      </w:r>
      <w:r>
        <w:t xml:space="preserve"> В период с 1920 по 1923 год были выпущены шесть разных надпечаток: четыре — в Иерусалиме, две — в Лондоне.</w:t>
      </w:r>
    </w:p>
    <w:p w:rsidR="0011757F" w:rsidRDefault="00C60F87">
      <w:pPr>
        <w:pStyle w:val="a3"/>
        <w:rPr>
          <w:position w:val="10"/>
        </w:rPr>
      </w:pPr>
      <w:r>
        <w:t>Местные евреи и арабы лоббировали англичан в отношении надпечатки (на рис.):</w:t>
      </w:r>
      <w:r>
        <w:rPr>
          <w:position w:val="10"/>
        </w:rPr>
        <w:t>[88]</w:t>
      </w:r>
    </w:p>
    <w:p w:rsidR="0011757F" w:rsidRDefault="00C60F87">
      <w:pPr>
        <w:pStyle w:val="a3"/>
      </w:pPr>
      <w:r>
        <w:t xml:space="preserve">«Евреи-члены [Консультативного] совета возражали против транслитерации на иврите слова „Палестина“ на том основании, что традиционным названием было „Земля Израильская“ („Эрец Исраэль“, </w:t>
      </w:r>
      <w:r>
        <w:rPr>
          <w:i/>
          <w:iCs/>
        </w:rPr>
        <w:t>Eretz Israel</w:t>
      </w:r>
      <w:r>
        <w:t>), но арабы-члены совета не соглашались с таким обозначением, которое, по их мнению, имело политическое значение. Поэтому Верховный комиссар решил, в качестве компромисса, что следует использовать транслитерацию на иврите, за которой всегда должны стоять две первые буквы названия „Эрец Исраэль“, алеф йод, и именно это словосочетание всегда использовалось на монетах и почтовых марках Палестины, а также во всех ссылках в официальных документах.»</w:t>
      </w:r>
    </w:p>
    <w:p w:rsidR="0011757F" w:rsidRDefault="00C60F87">
      <w:pPr>
        <w:pStyle w:val="a3"/>
        <w:rPr>
          <w:position w:val="10"/>
        </w:rPr>
      </w:pPr>
      <w:r>
        <w:t>В период действия мандата почтовую связь осуществляли британские власти. Британская почта разработала рисунки первых четырёх марок в 1923 году, по предложению Верховного комиссара Герберта Сэмюэла (Herbert Samuel), после публичного приглашения к созданию рисунков марок.</w:t>
      </w:r>
      <w:r>
        <w:rPr>
          <w:position w:val="10"/>
        </w:rPr>
        <w:t>[89]</w:t>
      </w:r>
      <w:r>
        <w:t xml:space="preserve"> Первые номиналы этой стандартной серии вышли 1 июня 1927 года.</w:t>
      </w:r>
      <w:r>
        <w:rPr>
          <w:position w:val="10"/>
        </w:rPr>
        <w:t>[90]</w:t>
      </w:r>
      <w:r>
        <w:t xml:space="preserve"> На марках были изображены могила Рахили (</w:t>
      </w:r>
      <w:r>
        <w:rPr>
          <w:i/>
          <w:iCs/>
        </w:rPr>
        <w:t>Rachel’s Tomb</w:t>
      </w:r>
      <w:r>
        <w:t>), башня Давида (</w:t>
      </w:r>
      <w:r>
        <w:rPr>
          <w:i/>
          <w:iCs/>
        </w:rPr>
        <w:t>Tower of David</w:t>
      </w:r>
      <w:r>
        <w:t>), Купол Скалы, вид мечети в Тверии и Тивериадское озеро. По словам Рейда (Reid), виды Британского мандата были тщательно сбалансированы с местами, значимыми для мусульман, евреев и христиан.</w:t>
      </w:r>
      <w:r>
        <w:rPr>
          <w:position w:val="10"/>
        </w:rPr>
        <w:t>[91]</w:t>
      </w:r>
    </w:p>
    <w:p w:rsidR="0011757F" w:rsidRDefault="00C60F87">
      <w:pPr>
        <w:pStyle w:val="a3"/>
      </w:pPr>
      <w:r>
        <w:t>Почтовая связь, организованная мандатными властями, имела репутацию лучшей на Ближнем Востоке. Письма доставлялись ежедневно в Иерусалим. Палестина вступила во Всемирный почтовый союз в октябре 1923 года.</w:t>
      </w:r>
      <w:r>
        <w:rPr>
          <w:position w:val="10"/>
        </w:rPr>
        <w:t>[92]</w:t>
      </w:r>
      <w:r>
        <w:t xml:space="preserve"> Перевозка почты осуществлялась судами, поездами, автомобилями и лошадьми, а после 1927 года также и воздушным транспортом.</w:t>
      </w:r>
      <w:r>
        <w:rPr>
          <w:position w:val="10"/>
        </w:rPr>
        <w:t>[93]</w:t>
      </w:r>
      <w:r>
        <w:t xml:space="preserve"> В 1926 году началась реализация и обмен Международными ответными купонами</w:t>
      </w:r>
      <w:r>
        <w:rPr>
          <w:position w:val="10"/>
        </w:rPr>
        <w:t>[94]</w:t>
      </w:r>
      <w:r>
        <w:t>, а с 1 января 1935 года — Имперскими ответными купонами (Imperial Reply Coupons).</w:t>
      </w:r>
      <w:r>
        <w:rPr>
          <w:position w:val="10"/>
        </w:rPr>
        <w:t>[95]</w:t>
      </w:r>
      <w:r>
        <w:t xml:space="preserve"> В 1933 году британские почтовые отделения в Палестине и Ираке первыми стали использовать авиапочтовые письма-карточки.</w:t>
      </w:r>
    </w:p>
    <w:p w:rsidR="0011757F" w:rsidRDefault="00C60F87">
      <w:pPr>
        <w:pStyle w:val="a3"/>
        <w:rPr>
          <w:position w:val="10"/>
        </w:rPr>
      </w:pPr>
      <w:r>
        <w:t>В период нестабильности 1947—1948 годов работа британской почты ухудшилась, и до раздела Палестины и образования государства Израиль её сменила временная переходная почтовая служба. Непосредственно перед официальным окончанием действия Британского мандата в Палестине мандатная администрация уничтожила имеющиеся запасы почтовых марок и вывела Палестину из Всемирного почтового союза.</w:t>
      </w:r>
      <w:r>
        <w:rPr>
          <w:position w:val="10"/>
        </w:rPr>
        <w:t>[96]</w:t>
      </w:r>
      <w:r>
        <w:t xml:space="preserve"> Всего в период с 1918 по 1942 год англичанами были выпущены 104 почтовые марки с названием «Палестина».</w:t>
      </w:r>
      <w:r>
        <w:rPr>
          <w:position w:val="10"/>
        </w:rPr>
        <w:t>[15]</w:t>
      </w:r>
    </w:p>
    <w:p w:rsidR="0011757F" w:rsidRDefault="00C60F87">
      <w:pPr>
        <w:pStyle w:val="31"/>
        <w:numPr>
          <w:ilvl w:val="0"/>
          <w:numId w:val="0"/>
        </w:numPr>
      </w:pPr>
      <w:r>
        <w:t>3.3. Мандатные почтовые отделения</w:t>
      </w:r>
    </w:p>
    <w:p w:rsidR="0011757F" w:rsidRDefault="00C60F87">
      <w:pPr>
        <w:pStyle w:val="a3"/>
      </w:pPr>
      <w:r>
        <w:t>Во время Британского мандата в Палестине работало около 160 почтовых отделений, сельских почтовых пунктов, почтовых вагонов и городских почтовых пунктов, некоторые лишь несколько месяцев, другие — в течение всего этого времени. После наступления союзных войск в 1917 и 1918 году почтовые услуги местному гражданскому населению вначале оказывали почтовые отделения полевой почты (</w:t>
      </w:r>
      <w:r>
        <w:rPr>
          <w:i/>
          <w:iCs/>
        </w:rPr>
        <w:t>Field Post Offices</w:t>
      </w:r>
      <w:r>
        <w:t>) и армейские почтовые отделения (</w:t>
      </w:r>
      <w:r>
        <w:rPr>
          <w:i/>
          <w:iCs/>
        </w:rPr>
        <w:t>Army Post Offices</w:t>
      </w:r>
      <w:r>
        <w:t>). Некоторые из последних были преобразованы в стационарные армейские (</w:t>
      </w:r>
      <w:r>
        <w:rPr>
          <w:i/>
          <w:iCs/>
        </w:rPr>
        <w:t>Stationary Army Post Offices</w:t>
      </w:r>
      <w:r>
        <w:t>) и стали гражданскими почтовыми отделениями после формирования гражданской администрации. В 1919 году насчитывалось 15 почтовых отделений. К 1939 году их число увеличилось почти до 100, и примерно до 150 — к окончанию действия мандата в мае 1948 года. Поскольку большая часть архивов главного почтамта Иерусалима не сохранилась, исследования в значительной степени зависят от установления филателистами разных почтовых штемпелей и сроков их использования.</w:t>
      </w:r>
    </w:p>
    <w:p w:rsidR="0011757F" w:rsidRDefault="00C60F87">
      <w:pPr>
        <w:pStyle w:val="31"/>
        <w:numPr>
          <w:ilvl w:val="0"/>
          <w:numId w:val="0"/>
        </w:numPr>
      </w:pPr>
      <w:r>
        <w:t>3.4. Мандатные почтовые тарифы</w:t>
      </w:r>
    </w:p>
    <w:p w:rsidR="0011757F" w:rsidRDefault="00C60F87">
      <w:pPr>
        <w:pStyle w:val="a3"/>
      </w:pPr>
      <w:r>
        <w:t>После оккупации союзными войсками в 1917 году пересылка простых почтовых отправлений была бесплатной для гражданских лиц. Почтовый сбор за заказные почтовые отправления и за посылки должен был оплачиваться наклеиванием почтовых марок Великобритании или Индии. Сразу по поступлении в продажу напечатанных в Каире почтовых марок Египетской экспедиционной армии стала платной пересылка почтовых отправлений за границу с 10 февраля 1918 года, а с 16 февраля 1918 года — и пересылка почты на оккупированные в то время территории и в Египет.</w:t>
      </w:r>
    </w:p>
    <w:p w:rsidR="0011757F" w:rsidRDefault="00C60F87">
      <w:pPr>
        <w:pStyle w:val="a3"/>
      </w:pPr>
      <w:r>
        <w:t>Структура почтовых сборов в целом следовала английской практике, с годами добавлялись новые виды услуг, такие как авиапочта и спешная доставка. С 1926 года в отношении корреспонденции, отправляемой в Британию и Ирландию, действовали сниженные тарифы, а с 1 марта 1938 года по 4 сентября 1939 года Палестина входила в систему авиапочтовых тарифов «Вся империя» (</w:t>
      </w:r>
      <w:r>
        <w:rPr>
          <w:i/>
          <w:iCs/>
        </w:rPr>
        <w:t>All Up Empire</w:t>
      </w:r>
      <w:r>
        <w:t>).</w:t>
      </w:r>
    </w:p>
    <w:p w:rsidR="0011757F" w:rsidRDefault="00C60F87">
      <w:pPr>
        <w:pStyle w:val="21"/>
        <w:numPr>
          <w:ilvl w:val="0"/>
          <w:numId w:val="0"/>
        </w:numPr>
      </w:pPr>
      <w:r>
        <w:t>Переходная и местная почтовая связь (1948)</w:t>
      </w:r>
    </w:p>
    <w:p w:rsidR="0011757F" w:rsidRDefault="00C60F87">
      <w:pPr>
        <w:pStyle w:val="a3"/>
        <w:rPr>
          <w:position w:val="10"/>
        </w:rPr>
      </w:pPr>
      <w:r>
        <w:t>В начале 1948 года, по мере ухода британской администрации, регион претерпел резкий переходный период, затронувший весь сектор государственных услуг. Согласно имеющимся сведениям, почтовая связь была хаотичной и ненадёжной. В апреле закрылись почти все британские почтовые предприятия. Сельская почтовая связь перестала функционировать 15 апреля, а к концу апреля 1948 года перестали работать остальные почтовые отделения, кроме почтамтов в Хайфе, Яффе, Иерусалиме и Тель-Авиве, которые продержались до 5 мая.</w:t>
      </w:r>
      <w:r>
        <w:rPr>
          <w:position w:val="10"/>
        </w:rPr>
        <w:t>[97][98]</w:t>
      </w:r>
    </w:p>
    <w:p w:rsidR="0011757F" w:rsidRDefault="00C60F87">
      <w:pPr>
        <w:pStyle w:val="a3"/>
        <w:rPr>
          <w:position w:val="10"/>
        </w:rPr>
      </w:pPr>
      <w:r>
        <w:t xml:space="preserve">Утверждается, что в Иерусалиме консульство Франции (French consulate) выпустило марки в мае 1948 года для своего персонала и проживающих там французских граждан. Предположительно, французские марки выпускались тремя выпусками: первым и вторым выпусками были марки «Affaires Étrangères» («иностранные дела»), с надписью </w:t>
      </w:r>
      <w:r>
        <w:rPr>
          <w:i/>
          <w:iCs/>
        </w:rPr>
        <w:t>gratis</w:t>
      </w:r>
      <w:r>
        <w:t xml:space="preserve"> («бесплатно»), но с надпечаткой, тогда как третьим выпуском стали почтовые марки типа «Марианна» (номиналом 6 франков), поступившие из Франции к концу мая. Консульство изготовило собственный штемпель гашения: </w:t>
      </w:r>
      <w:r>
        <w:rPr>
          <w:i/>
          <w:iCs/>
        </w:rPr>
        <w:t>Jerusalem Postes Françaises</w:t>
      </w:r>
      <w:r>
        <w:t xml:space="preserve"> («Иерусалим Французская почта»).</w:t>
      </w:r>
      <w:r>
        <w:rPr>
          <w:position w:val="10"/>
        </w:rPr>
        <w:t>[99]</w:t>
      </w:r>
      <w:r>
        <w:t xml:space="preserve"> Проведённые филателистами исследования показали, что французская консульская почта носит мошеннический характер. Мошеннические действия совершил сын тогдашнего французского консула,</w:t>
      </w:r>
      <w:r>
        <w:rPr>
          <w:position w:val="10"/>
        </w:rPr>
        <w:t>[100]</w:t>
      </w:r>
      <w:r>
        <w:t>, хотя другие филателисты продолжают настаивать, что эта почта вместе и её марки — настоящие.</w:t>
      </w:r>
      <w:r>
        <w:rPr>
          <w:position w:val="10"/>
        </w:rPr>
        <w:t>[101]</w:t>
      </w:r>
    </w:p>
    <w:p w:rsidR="0011757F" w:rsidRDefault="00C60F87">
      <w:pPr>
        <w:pStyle w:val="31"/>
        <w:numPr>
          <w:ilvl w:val="0"/>
          <w:numId w:val="0"/>
        </w:numPr>
      </w:pPr>
      <w:r>
        <w:t>4.1. Минхелет хаам</w:t>
      </w:r>
    </w:p>
    <w:p w:rsidR="0011757F" w:rsidRDefault="00C60F87">
      <w:pPr>
        <w:pStyle w:val="a3"/>
        <w:rPr>
          <w:position w:val="10"/>
        </w:rPr>
      </w:pPr>
      <w:r>
        <w:t>В начале мая 1948 года у еврейского временного правительства, известного как «Минхелет хаам» (</w:t>
      </w:r>
      <w:r>
        <w:rPr>
          <w:i/>
          <w:iCs/>
        </w:rPr>
        <w:t>Minhelet Ha’am</w:t>
      </w:r>
      <w:r>
        <w:t>), не было наготове собственных почтовых марок, поэтому оно воспользовалось имеющимися виньетками,</w:t>
      </w:r>
      <w:r>
        <w:rPr>
          <w:position w:val="10"/>
        </w:rPr>
        <w:t>[102]</w:t>
      </w:r>
      <w:r>
        <w:t xml:space="preserve"> как виньетками Еврейского национального фонда (JNF, далее — «ЕНФ»), которые печатались с 1902 года для целей сбора денежных средств</w:t>
      </w:r>
      <w:r>
        <w:rPr>
          <w:position w:val="10"/>
        </w:rPr>
        <w:t>[103]</w:t>
      </w:r>
      <w:r>
        <w:t>, так и местными общинными налоговыми марками. На виньетках Еврейского национального фонда была сделана надпечатка на иврите, означающая «почтовый сбор» («</w:t>
      </w:r>
      <w:r>
        <w:rPr>
          <w:i/>
          <w:iCs/>
        </w:rPr>
        <w:t>doar</w:t>
      </w:r>
      <w:r>
        <w:t>»),</w:t>
      </w:r>
      <w:r>
        <w:rPr>
          <w:position w:val="10"/>
        </w:rPr>
        <w:t>[104]</w:t>
      </w:r>
      <w:r>
        <w:t>, тогда как на местных общинных налоговых марках надпечатки не ставились.</w:t>
      </w:r>
      <w:r>
        <w:rPr>
          <w:position w:val="10"/>
        </w:rPr>
        <w:t>[105]</w:t>
      </w:r>
      <w:r>
        <w:t xml:space="preserve"> Почтовые марки ЕНФ печатались с 3 по 14 мая 1948 года, их реализация была прекращена 14 мая 1948 года. Остатки марок было приказано вернуть и уничтожить.</w:t>
      </w:r>
      <w:r>
        <w:rPr>
          <w:position w:val="10"/>
        </w:rPr>
        <w:t>[106]</w:t>
      </w:r>
      <w:r>
        <w:t xml:space="preserve"> Использование этих почтовых марок допускалось до 22 мая 1948 года.</w:t>
      </w:r>
      <w:r>
        <w:rPr>
          <w:position w:val="10"/>
        </w:rPr>
        <w:t>[106]</w:t>
      </w:r>
      <w:r>
        <w:t xml:space="preserve"> В этот период мандатные почтовые тарифы оставались без изменений.</w:t>
      </w:r>
      <w:r>
        <w:rPr>
          <w:position w:val="10"/>
        </w:rPr>
        <w:t>[107]</w:t>
      </w:r>
    </w:p>
    <w:p w:rsidR="0011757F" w:rsidRDefault="00C60F87">
      <w:pPr>
        <w:pStyle w:val="a3"/>
        <w:rPr>
          <w:position w:val="10"/>
        </w:rPr>
      </w:pPr>
      <w:r>
        <w:t>Поскольку Иерусалим находился в осаде (Siege of Jerusalem (1948)), его жители продолжали пользоваться марками ЕНФ до 20 июня 1948 года, когда в город поступили почтовые марки Израиля. На этих марках с надпечаткой печати ЕНФ была изображена карта плана ООН по разделу Палестины.</w:t>
      </w:r>
      <w:r>
        <w:rPr>
          <w:position w:val="10"/>
        </w:rPr>
        <w:t>[108]</w:t>
      </w:r>
    </w:p>
    <w:p w:rsidR="0011757F" w:rsidRDefault="00C60F87">
      <w:pPr>
        <w:pStyle w:val="a3"/>
        <w:rPr>
          <w:position w:val="10"/>
        </w:rPr>
      </w:pPr>
      <w:r>
        <w:t>Временным правительством была использована 31 оригинальная виньетка ЕНФ. Из-за различных номиналов и надпечаток каталогизировано, по меньшей мере, 104 их варианта. На восьми марках изображены еврейские парашютисты-десантники Управления специальных операций, погибшие во время Второй мировой войны, среди которых Абба Бердичев (Abba Berdichev), Хане Сенеш, Хавива Реик (Haviva Reik), Энцо Серени (Enzo Sereni). Также ЕНФ посвятил марки кибуцам Ханита (Hanita) и Тират-Цви, Еврейской бригаде, Техниону, восстанию в Варшавском гетто, судну, нелегально перевозящему иммигрантов, а также сионистам Иегошуа Ханкину (Yehoshua Hankin), Хаиму Вейцману, Элиэзеру Бен-Йехуде, Теодору Герцлю и Хаиму Нахману Бялику.</w:t>
      </w:r>
      <w:r>
        <w:rPr>
          <w:position w:val="10"/>
        </w:rPr>
        <w:t>[109]</w:t>
      </w:r>
    </w:p>
    <w:p w:rsidR="0011757F" w:rsidRDefault="00C60F87">
      <w:pPr>
        <w:pStyle w:val="31"/>
        <w:numPr>
          <w:ilvl w:val="0"/>
          <w:numId w:val="0"/>
        </w:numPr>
      </w:pPr>
      <w:r>
        <w:t xml:space="preserve">4.2. Местная почта </w:t>
      </w:r>
    </w:p>
    <w:p w:rsidR="0011757F" w:rsidRDefault="00C60F87">
      <w:pPr>
        <w:pStyle w:val="41"/>
        <w:numPr>
          <w:ilvl w:val="0"/>
          <w:numId w:val="0"/>
        </w:numPr>
      </w:pPr>
      <w:r>
        <w:t>Цфат</w:t>
      </w:r>
    </w:p>
    <w:p w:rsidR="0011757F" w:rsidRDefault="00C60F87">
      <w:pPr>
        <w:pStyle w:val="a3"/>
        <w:rPr>
          <w:position w:val="10"/>
        </w:rPr>
      </w:pPr>
      <w:r>
        <w:t xml:space="preserve">В городе Цфате (Сафеде) после ухода в апреле англичан свой контроль пыталась установить «Хагана». Эта еврейская полувоенная организация привлекла некоего почтового служащего к напечатанию почтовых конвертов (так и не поступивших в обращение) и 2200 марок номиналом 10 милей. На марках была надпись на иврите: </w:t>
      </w:r>
      <w:r>
        <w:rPr>
          <w:i/>
          <w:iCs/>
        </w:rPr>
        <w:t>Safed mail Eretz Israel</w:t>
      </w:r>
      <w:r>
        <w:t>. Проштемпелёванная корреспонденция переравлялась Хаганой через Рош-Пинну. Эти в спешном порядке выпущенные в Цфате марки стали единственными марками, выпущенными «Хаганой».</w:t>
      </w:r>
      <w:r>
        <w:rPr>
          <w:position w:val="10"/>
        </w:rPr>
        <w:t>[110][111]</w:t>
      </w:r>
    </w:p>
    <w:p w:rsidR="0011757F" w:rsidRDefault="00C60F87">
      <w:pPr>
        <w:pStyle w:val="a3"/>
        <w:rPr>
          <w:position w:val="10"/>
        </w:rPr>
      </w:pPr>
      <w:r>
        <w:t>16 мая 1948 года в Цфате поступили в продажу почтовые марки типа «Doar Ivri», выпущенные Временным правительством.</w:t>
      </w:r>
      <w:r>
        <w:rPr>
          <w:position w:val="10"/>
        </w:rPr>
        <w:t>[112]</w:t>
      </w:r>
    </w:p>
    <w:p w:rsidR="0011757F" w:rsidRDefault="00C60F87">
      <w:pPr>
        <w:pStyle w:val="41"/>
        <w:numPr>
          <w:ilvl w:val="0"/>
          <w:numId w:val="0"/>
        </w:numPr>
      </w:pPr>
      <w:r>
        <w:t>Ришон-ле-Цион</w:t>
      </w:r>
    </w:p>
    <w:p w:rsidR="0011757F" w:rsidRDefault="00C60F87">
      <w:pPr>
        <w:pStyle w:val="a3"/>
        <w:rPr>
          <w:position w:val="10"/>
        </w:rPr>
      </w:pPr>
      <w:r>
        <w:t>В сельском поселении Ришон-ле-Цион местный совет проголосовал за выпуск собственных почтовых марок и организацию почтовой связи с помощью бронированных автомобилей. Марки впервые поступили в продажу 4 апреля 1948 года, более чем за месяц до создания государства Израиль, а почтовое обслуживание было прекращено 6 мая.</w:t>
      </w:r>
      <w:r>
        <w:rPr>
          <w:position w:val="10"/>
        </w:rPr>
        <w:t>[113]</w:t>
      </w:r>
      <w:r>
        <w:t xml:space="preserve"> Выпуск этих марок не был разрешён Временным правительством.</w:t>
      </w:r>
      <w:r>
        <w:rPr>
          <w:position w:val="10"/>
        </w:rPr>
        <w:t>[114]</w:t>
      </w:r>
    </w:p>
    <w:p w:rsidR="0011757F" w:rsidRDefault="00C60F87">
      <w:pPr>
        <w:pStyle w:val="41"/>
        <w:numPr>
          <w:ilvl w:val="0"/>
          <w:numId w:val="0"/>
        </w:numPr>
      </w:pPr>
      <w:r>
        <w:t>Нагария</w:t>
      </w:r>
    </w:p>
    <w:p w:rsidR="0011757F" w:rsidRDefault="00C60F87">
      <w:pPr>
        <w:pStyle w:val="a3"/>
        <w:rPr>
          <w:position w:val="10"/>
        </w:rPr>
      </w:pPr>
      <w:r>
        <w:t>Во время войны 1948 года город Нагария был отрезан, и местная администрация выпустила местные почтовые марки без разрешения Временного правительства.</w:t>
      </w:r>
      <w:r>
        <w:rPr>
          <w:position w:val="10"/>
        </w:rPr>
        <w:t>[114]</w:t>
      </w:r>
    </w:p>
    <w:p w:rsidR="0011757F" w:rsidRDefault="00C60F87">
      <w:pPr>
        <w:pStyle w:val="21"/>
        <w:pageBreakBefore/>
        <w:numPr>
          <w:ilvl w:val="0"/>
          <w:numId w:val="0"/>
        </w:numPr>
      </w:pPr>
      <w:r>
        <w:t xml:space="preserve">5. После 1948 года </w:t>
      </w:r>
    </w:p>
    <w:p w:rsidR="0011757F" w:rsidRDefault="00C60F87">
      <w:pPr>
        <w:pStyle w:val="a3"/>
      </w:pPr>
      <w:r>
        <w:t>После 1948 года в регионе действовали почтовые администрации Египта, Иордании, Израиля и Палестинской национальной администрации.</w:t>
      </w:r>
    </w:p>
    <w:p w:rsidR="0011757F" w:rsidRDefault="00C60F87">
      <w:pPr>
        <w:pStyle w:val="31"/>
        <w:numPr>
          <w:ilvl w:val="0"/>
          <w:numId w:val="0"/>
        </w:numPr>
      </w:pPr>
      <w:r>
        <w:t>5.1. Египет и Иордания</w:t>
      </w:r>
    </w:p>
    <w:p w:rsidR="0011757F" w:rsidRDefault="00C60F87">
      <w:pPr>
        <w:pStyle w:val="a3"/>
      </w:pPr>
      <w:r>
        <w:t>Египет и Иордания обеспечивали почтовыми марками Газу, Западный берег и Иерусалим в период с 1948 года по 1967 год. Оба государства делали надпечатки на собственных почтовых марках слова «</w:t>
      </w:r>
      <w:r>
        <w:rPr>
          <w:i/>
          <w:iCs/>
        </w:rPr>
        <w:t>Palestine</w:t>
      </w:r>
      <w:r>
        <w:t>» («Палестина»).</w:t>
      </w:r>
      <w:r>
        <w:rPr>
          <w:position w:val="10"/>
        </w:rPr>
        <w:t>[15]</w:t>
      </w:r>
      <w:r>
        <w:t xml:space="preserve"> Из таких марок с текстом «Палестина» в каталоге «Скотт» указаны 44 почтовые марки, выпущенные Иорданией, и 180 марок, выпущенных Египтом. Иногда Верховный арабский комитет и другие организации выпускали пропагандистские виньетки.</w:t>
      </w:r>
    </w:p>
    <w:p w:rsidR="0011757F" w:rsidRDefault="00C60F87">
      <w:pPr>
        <w:pStyle w:val="a3"/>
        <w:rPr>
          <w:position w:val="10"/>
        </w:rPr>
      </w:pPr>
      <w:r>
        <w:t>К 5 мая 1948 года Египет организовал почтовую связь и выпустил надпечатки на египетских марках с названием «Палестина» на арабском и английском языках. Египет в основном использовал стандартные марки наряду с одной маркой спешной почты, с изображением мотоцикла, а также авиапочтовые марки с изображением короля Фарука.</w:t>
      </w:r>
      <w:r>
        <w:rPr>
          <w:position w:val="10"/>
        </w:rPr>
        <w:t>[115]</w:t>
      </w:r>
    </w:p>
    <w:p w:rsidR="0011757F" w:rsidRDefault="00C60F87">
      <w:pPr>
        <w:pStyle w:val="a3"/>
        <w:rPr>
          <w:position w:val="10"/>
        </w:rPr>
      </w:pPr>
      <w:r>
        <w:t>На территории Западного берега до его включения в состав Трансиордании в 1950 году иорданские власти эмитировали почтовые марки с 1948 года до апреля 1950 года. С надпечатками текста «Палестина» на арабском и английском языках иорданцы использовали стандартные марки, доплатные марки и обязательные налоговые марки.</w:t>
      </w:r>
      <w:r>
        <w:rPr>
          <w:position w:val="10"/>
        </w:rPr>
        <w:t>[116]</w:t>
      </w:r>
    </w:p>
    <w:p w:rsidR="0011757F" w:rsidRDefault="00C60F87">
      <w:pPr>
        <w:pStyle w:val="31"/>
        <w:numPr>
          <w:ilvl w:val="0"/>
          <w:numId w:val="0"/>
        </w:numPr>
      </w:pPr>
      <w:r>
        <w:t>5.2. Израиль</w:t>
      </w:r>
    </w:p>
    <w:p w:rsidR="0011757F" w:rsidRDefault="00C60F87">
      <w:pPr>
        <w:pStyle w:val="31"/>
        <w:numPr>
          <w:ilvl w:val="0"/>
          <w:numId w:val="0"/>
        </w:numPr>
      </w:pPr>
      <w:r>
        <w:t>5.3. Палестинская национальная администрация</w:t>
      </w:r>
    </w:p>
    <w:p w:rsidR="0011757F" w:rsidRDefault="0011757F">
      <w:pPr>
        <w:pStyle w:val="a3"/>
      </w:pPr>
    </w:p>
    <w:p w:rsidR="0011757F" w:rsidRDefault="00C60F87">
      <w:pPr>
        <w:pStyle w:val="21"/>
        <w:pageBreakBefore/>
        <w:numPr>
          <w:ilvl w:val="0"/>
          <w:numId w:val="0"/>
        </w:numPr>
      </w:pPr>
      <w:r>
        <w:t xml:space="preserve">6. Пропагандистские виньетки </w:t>
      </w:r>
    </w:p>
    <w:p w:rsidR="0011757F" w:rsidRDefault="00C60F87">
      <w:pPr>
        <w:pStyle w:val="31"/>
        <w:numPr>
          <w:ilvl w:val="0"/>
          <w:numId w:val="0"/>
        </w:numPr>
      </w:pPr>
      <w:r>
        <w:t>Виньетки Еврейского национального фонда Англо-палестинская компания Виньетки палестинских организаций</w:t>
      </w:r>
    </w:p>
    <w:p w:rsidR="0011757F" w:rsidRDefault="0011757F">
      <w:pPr>
        <w:pStyle w:val="a3"/>
      </w:pPr>
    </w:p>
    <w:p w:rsidR="0011757F" w:rsidRDefault="0011757F">
      <w:pPr>
        <w:pStyle w:val="a3"/>
      </w:pPr>
    </w:p>
    <w:p w:rsidR="0011757F" w:rsidRDefault="00C60F87">
      <w:pPr>
        <w:pStyle w:val="21"/>
        <w:pageBreakBefore/>
        <w:numPr>
          <w:ilvl w:val="0"/>
          <w:numId w:val="0"/>
        </w:numPr>
      </w:pPr>
      <w:r>
        <w:t>Список литературы:</w:t>
      </w:r>
    </w:p>
    <w:p w:rsidR="0011757F" w:rsidRDefault="00C60F87">
      <w:pPr>
        <w:pStyle w:val="a3"/>
        <w:numPr>
          <w:ilvl w:val="0"/>
          <w:numId w:val="1"/>
        </w:numPr>
        <w:tabs>
          <w:tab w:val="left" w:pos="707"/>
        </w:tabs>
        <w:spacing w:after="0"/>
      </w:pPr>
      <w:r>
        <w:t>«was bound together by roads, along which there was a regular postal service, and clay seals which took the place of stamps are now in the Louvre bearing the names of Sargon and his son.» Bristowe, 2003, p. 24.</w:t>
      </w:r>
    </w:p>
    <w:p w:rsidR="0011757F" w:rsidRDefault="00C60F87">
      <w:pPr>
        <w:pStyle w:val="a3"/>
        <w:numPr>
          <w:ilvl w:val="0"/>
          <w:numId w:val="1"/>
        </w:numPr>
        <w:tabs>
          <w:tab w:val="left" w:pos="707"/>
        </w:tabs>
        <w:spacing w:after="0"/>
      </w:pPr>
      <w:r>
        <w:t>Hitti, 2004, p. 220.</w:t>
      </w:r>
    </w:p>
    <w:p w:rsidR="0011757F" w:rsidRDefault="00C60F87">
      <w:pPr>
        <w:pStyle w:val="a3"/>
        <w:numPr>
          <w:ilvl w:val="0"/>
          <w:numId w:val="1"/>
        </w:numPr>
        <w:tabs>
          <w:tab w:val="left" w:pos="707"/>
        </w:tabs>
        <w:spacing w:after="0"/>
      </w:pPr>
      <w:r>
        <w:t>Yoder, 2001, p. 42.</w:t>
      </w:r>
    </w:p>
    <w:p w:rsidR="0011757F" w:rsidRDefault="00C60F87">
      <w:pPr>
        <w:pStyle w:val="a3"/>
        <w:numPr>
          <w:ilvl w:val="0"/>
          <w:numId w:val="1"/>
        </w:numPr>
        <w:tabs>
          <w:tab w:val="left" w:pos="707"/>
        </w:tabs>
        <w:spacing w:after="0"/>
      </w:pPr>
      <w:r>
        <w:rPr>
          <w:i/>
          <w:iCs/>
        </w:rPr>
        <w:t>Esther</w:t>
      </w:r>
      <w:r>
        <w:t xml:space="preserve"> III:13, VIII:10-14, IX:20</w:t>
      </w:r>
    </w:p>
    <w:p w:rsidR="0011757F" w:rsidRDefault="00C60F87">
      <w:pPr>
        <w:pStyle w:val="a3"/>
        <w:numPr>
          <w:ilvl w:val="0"/>
          <w:numId w:val="1"/>
        </w:numPr>
        <w:tabs>
          <w:tab w:val="left" w:pos="707"/>
        </w:tabs>
        <w:spacing w:after="0"/>
      </w:pPr>
      <w:r>
        <w:t>Hitti, 2004, p. 457.</w:t>
      </w:r>
    </w:p>
    <w:p w:rsidR="0011757F" w:rsidRDefault="00C60F87">
      <w:pPr>
        <w:pStyle w:val="a3"/>
        <w:numPr>
          <w:ilvl w:val="0"/>
          <w:numId w:val="1"/>
        </w:numPr>
        <w:tabs>
          <w:tab w:val="left" w:pos="707"/>
        </w:tabs>
        <w:spacing w:after="0"/>
      </w:pPr>
      <w:r>
        <w:t>Levy, 1995, p. 516.</w:t>
      </w:r>
    </w:p>
    <w:p w:rsidR="0011757F" w:rsidRDefault="00C60F87">
      <w:pPr>
        <w:pStyle w:val="a3"/>
        <w:numPr>
          <w:ilvl w:val="0"/>
          <w:numId w:val="1"/>
        </w:numPr>
        <w:tabs>
          <w:tab w:val="left" w:pos="707"/>
        </w:tabs>
        <w:spacing w:after="0"/>
      </w:pPr>
      <w:r>
        <w:t xml:space="preserve">Dictionaries. Sakhr. </w:t>
      </w:r>
    </w:p>
    <w:p w:rsidR="0011757F" w:rsidRDefault="00C60F87">
      <w:pPr>
        <w:pStyle w:val="a3"/>
        <w:numPr>
          <w:ilvl w:val="0"/>
          <w:numId w:val="1"/>
        </w:numPr>
        <w:tabs>
          <w:tab w:val="left" w:pos="707"/>
        </w:tabs>
        <w:spacing w:after="0"/>
      </w:pPr>
      <w:r>
        <w:t>Silverstein, 2007, pp. 165—166.</w:t>
      </w:r>
    </w:p>
    <w:p w:rsidR="0011757F" w:rsidRDefault="00C60F87">
      <w:pPr>
        <w:pStyle w:val="a3"/>
        <w:numPr>
          <w:ilvl w:val="0"/>
          <w:numId w:val="1"/>
        </w:numPr>
        <w:tabs>
          <w:tab w:val="left" w:pos="707"/>
        </w:tabs>
        <w:spacing w:after="0"/>
      </w:pPr>
      <w:r>
        <w:t>Hitti, 1996, p. 240.</w:t>
      </w:r>
    </w:p>
    <w:p w:rsidR="0011757F" w:rsidRDefault="00C60F87">
      <w:pPr>
        <w:pStyle w:val="a3"/>
        <w:numPr>
          <w:ilvl w:val="0"/>
          <w:numId w:val="1"/>
        </w:numPr>
        <w:tabs>
          <w:tab w:val="left" w:pos="707"/>
        </w:tabs>
        <w:spacing w:after="0"/>
      </w:pPr>
      <w:r>
        <w:t>Runciman, 2006, p. 263.</w:t>
      </w:r>
    </w:p>
    <w:p w:rsidR="0011757F" w:rsidRDefault="00C60F87">
      <w:pPr>
        <w:pStyle w:val="a3"/>
        <w:numPr>
          <w:ilvl w:val="0"/>
          <w:numId w:val="1"/>
        </w:numPr>
        <w:tabs>
          <w:tab w:val="left" w:pos="707"/>
        </w:tabs>
        <w:spacing w:after="0"/>
      </w:pPr>
      <w:r>
        <w:t>Gibbon, 1837, p. 1051.</w:t>
      </w:r>
    </w:p>
    <w:p w:rsidR="0011757F" w:rsidRDefault="00C60F87">
      <w:pPr>
        <w:pStyle w:val="a3"/>
        <w:numPr>
          <w:ilvl w:val="0"/>
          <w:numId w:val="1"/>
        </w:numPr>
        <w:tabs>
          <w:tab w:val="left" w:pos="707"/>
        </w:tabs>
        <w:spacing w:after="0"/>
      </w:pPr>
      <w:r>
        <w:t>Shahin, 2005, pp. 421—423.</w:t>
      </w:r>
    </w:p>
    <w:p w:rsidR="0011757F" w:rsidRDefault="00C60F87">
      <w:pPr>
        <w:pStyle w:val="a3"/>
        <w:numPr>
          <w:ilvl w:val="0"/>
          <w:numId w:val="1"/>
        </w:numPr>
        <w:tabs>
          <w:tab w:val="left" w:pos="707"/>
        </w:tabs>
        <w:spacing w:after="0"/>
      </w:pPr>
      <w:r>
        <w:t>Oliver, 2001, p. 17.</w:t>
      </w:r>
    </w:p>
    <w:p w:rsidR="0011757F" w:rsidRDefault="00C60F87">
      <w:pPr>
        <w:pStyle w:val="a3"/>
        <w:numPr>
          <w:ilvl w:val="0"/>
          <w:numId w:val="1"/>
        </w:numPr>
        <w:tabs>
          <w:tab w:val="left" w:pos="707"/>
        </w:tabs>
        <w:spacing w:after="0"/>
      </w:pPr>
      <w:r>
        <w:t>Brown, 1979, p. 81.</w:t>
      </w:r>
    </w:p>
    <w:p w:rsidR="0011757F" w:rsidRDefault="00C60F87">
      <w:pPr>
        <w:pStyle w:val="a3"/>
        <w:numPr>
          <w:ilvl w:val="0"/>
          <w:numId w:val="1"/>
        </w:numPr>
        <w:tabs>
          <w:tab w:val="left" w:pos="707"/>
        </w:tabs>
        <w:spacing w:after="0"/>
      </w:pPr>
      <w:r>
        <w:rPr>
          <w:i/>
          <w:iCs/>
        </w:rPr>
        <w:t>Barth Healey</w:t>
      </w:r>
      <w:r>
        <w:t xml:space="preserve"> Philatelic Diplomacy: Palestinians Join Collectors' List (1998-07-19). </w:t>
      </w:r>
    </w:p>
    <w:p w:rsidR="0011757F" w:rsidRDefault="00C60F87">
      <w:pPr>
        <w:pStyle w:val="a3"/>
        <w:numPr>
          <w:ilvl w:val="0"/>
          <w:numId w:val="1"/>
        </w:numPr>
        <w:tabs>
          <w:tab w:val="left" w:pos="707"/>
        </w:tabs>
        <w:spacing w:after="0"/>
      </w:pPr>
      <w:r>
        <w:t>Levy, 1998, p. 536.</w:t>
      </w:r>
    </w:p>
    <w:p w:rsidR="0011757F" w:rsidRDefault="00C60F87">
      <w:pPr>
        <w:pStyle w:val="a3"/>
        <w:numPr>
          <w:ilvl w:val="0"/>
          <w:numId w:val="1"/>
        </w:numPr>
        <w:tabs>
          <w:tab w:val="left" w:pos="707"/>
        </w:tabs>
        <w:spacing w:after="0"/>
      </w:pPr>
      <w:r>
        <w:t>Collins &amp; Steichele, 2000, pp. 17-21.</w:t>
      </w:r>
    </w:p>
    <w:p w:rsidR="0011757F" w:rsidRDefault="00C60F87">
      <w:pPr>
        <w:pStyle w:val="a3"/>
        <w:numPr>
          <w:ilvl w:val="0"/>
          <w:numId w:val="1"/>
        </w:numPr>
        <w:tabs>
          <w:tab w:val="left" w:pos="707"/>
        </w:tabs>
        <w:spacing w:after="0"/>
      </w:pPr>
      <w:r>
        <w:t>Collins &amp; Steichele, 2000, p. 17.</w:t>
      </w:r>
    </w:p>
    <w:p w:rsidR="0011757F" w:rsidRDefault="00C60F87">
      <w:pPr>
        <w:pStyle w:val="a3"/>
        <w:numPr>
          <w:ilvl w:val="0"/>
          <w:numId w:val="1"/>
        </w:numPr>
        <w:tabs>
          <w:tab w:val="left" w:pos="707"/>
        </w:tabs>
        <w:spacing w:after="0"/>
      </w:pPr>
      <w:r>
        <w:t>Collins &amp; Steichele, 2000, p. 21</w:t>
      </w:r>
    </w:p>
    <w:p w:rsidR="0011757F" w:rsidRDefault="00C60F87">
      <w:pPr>
        <w:pStyle w:val="a3"/>
        <w:numPr>
          <w:ilvl w:val="0"/>
          <w:numId w:val="1"/>
        </w:numPr>
        <w:tabs>
          <w:tab w:val="left" w:pos="707"/>
        </w:tabs>
        <w:spacing w:after="0"/>
      </w:pPr>
      <w:r>
        <w:t xml:space="preserve">Collins &amp; Steichele, 2000, p. 21-22, цит. по: </w:t>
      </w:r>
      <w:r>
        <w:rPr>
          <w:i/>
          <w:iCs/>
        </w:rPr>
        <w:t>Tobias Tobler.</w:t>
      </w:r>
      <w:r>
        <w:t xml:space="preserve"> Memorabilia from Jerusalem, 1853.</w:t>
      </w:r>
    </w:p>
    <w:p w:rsidR="0011757F" w:rsidRDefault="00C60F87">
      <w:pPr>
        <w:pStyle w:val="a3"/>
        <w:numPr>
          <w:ilvl w:val="0"/>
          <w:numId w:val="1"/>
        </w:numPr>
        <w:tabs>
          <w:tab w:val="left" w:pos="707"/>
        </w:tabs>
        <w:spacing w:after="0"/>
      </w:pPr>
      <w:r>
        <w:t>Collins &amp; Steichele, 2000, p. 22.</w:t>
      </w:r>
    </w:p>
    <w:p w:rsidR="0011757F" w:rsidRDefault="00C60F87">
      <w:pPr>
        <w:pStyle w:val="a3"/>
        <w:numPr>
          <w:ilvl w:val="0"/>
          <w:numId w:val="1"/>
        </w:numPr>
        <w:tabs>
          <w:tab w:val="left" w:pos="707"/>
        </w:tabs>
        <w:spacing w:after="0"/>
      </w:pPr>
      <w:r>
        <w:t>Tranmer, 1976, p. 54.</w:t>
      </w:r>
    </w:p>
    <w:p w:rsidR="0011757F" w:rsidRDefault="00C60F87">
      <w:pPr>
        <w:pStyle w:val="a3"/>
        <w:numPr>
          <w:ilvl w:val="0"/>
          <w:numId w:val="1"/>
        </w:numPr>
        <w:tabs>
          <w:tab w:val="left" w:pos="707"/>
        </w:tabs>
        <w:spacing w:after="0"/>
      </w:pPr>
      <w:r>
        <w:t>Lindenberg, 1926, p. 15.</w:t>
      </w:r>
    </w:p>
    <w:p w:rsidR="0011757F" w:rsidRDefault="00C60F87">
      <w:pPr>
        <w:pStyle w:val="a3"/>
        <w:numPr>
          <w:ilvl w:val="0"/>
          <w:numId w:val="1"/>
        </w:numPr>
        <w:tabs>
          <w:tab w:val="left" w:pos="707"/>
        </w:tabs>
        <w:spacing w:after="0"/>
      </w:pPr>
      <w:r>
        <w:t>Porter, 1858, p. 1viii.</w:t>
      </w:r>
    </w:p>
    <w:p w:rsidR="0011757F" w:rsidRDefault="00C60F87">
      <w:pPr>
        <w:pStyle w:val="a3"/>
        <w:numPr>
          <w:ilvl w:val="0"/>
          <w:numId w:val="1"/>
        </w:numPr>
        <w:tabs>
          <w:tab w:val="left" w:pos="707"/>
        </w:tabs>
        <w:spacing w:after="0"/>
      </w:pPr>
      <w:r>
        <w:rPr>
          <w:i/>
          <w:iCs/>
        </w:rPr>
        <w:t>татар</w:t>
      </w:r>
      <w:r>
        <w:t xml:space="preserve"> или </w:t>
      </w:r>
      <w:r>
        <w:rPr>
          <w:i/>
          <w:iCs/>
        </w:rPr>
        <w:t>тартар</w:t>
      </w:r>
      <w:r>
        <w:t xml:space="preserve"> относится к конному гонцу, а не к этнической группе татар</w:t>
      </w:r>
    </w:p>
    <w:p w:rsidR="0011757F" w:rsidRDefault="00C60F87">
      <w:pPr>
        <w:pStyle w:val="a3"/>
        <w:numPr>
          <w:ilvl w:val="0"/>
          <w:numId w:val="1"/>
        </w:numPr>
        <w:tabs>
          <w:tab w:val="left" w:pos="707"/>
        </w:tabs>
        <w:spacing w:after="0"/>
      </w:pPr>
      <w:r>
        <w:rPr>
          <w:i/>
          <w:iCs/>
        </w:rPr>
        <w:t>tartar</w:t>
      </w:r>
      <w:r>
        <w:t xml:space="preserve"> or </w:t>
      </w:r>
      <w:r>
        <w:rPr>
          <w:i/>
          <w:iCs/>
        </w:rPr>
        <w:t>tatar</w:t>
      </w:r>
      <w:r>
        <w:t xml:space="preserve"> refers to a despatch rider, not the ethnic group Tatars</w:t>
      </w:r>
    </w:p>
    <w:p w:rsidR="0011757F" w:rsidRDefault="00C60F87">
      <w:pPr>
        <w:pStyle w:val="a3"/>
        <w:numPr>
          <w:ilvl w:val="0"/>
          <w:numId w:val="1"/>
        </w:numPr>
        <w:tabs>
          <w:tab w:val="left" w:pos="707"/>
        </w:tabs>
        <w:spacing w:after="0"/>
      </w:pPr>
      <w:r>
        <w:t>Collins &amp; Steichele, 2000, p. 25.</w:t>
      </w:r>
    </w:p>
    <w:p w:rsidR="0011757F" w:rsidRDefault="00C60F87">
      <w:pPr>
        <w:pStyle w:val="a3"/>
        <w:numPr>
          <w:ilvl w:val="0"/>
          <w:numId w:val="1"/>
        </w:numPr>
        <w:tabs>
          <w:tab w:val="left" w:pos="707"/>
        </w:tabs>
        <w:spacing w:after="0"/>
      </w:pPr>
      <w:r>
        <w:t>Collins &amp; Steichele, 2000, p. 23.</w:t>
      </w:r>
    </w:p>
    <w:p w:rsidR="0011757F" w:rsidRDefault="00C60F87">
      <w:pPr>
        <w:pStyle w:val="a3"/>
        <w:numPr>
          <w:ilvl w:val="0"/>
          <w:numId w:val="1"/>
        </w:numPr>
        <w:tabs>
          <w:tab w:val="left" w:pos="707"/>
        </w:tabs>
        <w:spacing w:after="0"/>
      </w:pPr>
      <w:r>
        <w:t>Collins &amp; Steichele, 2000, pp. 201—202.</w:t>
      </w:r>
    </w:p>
    <w:p w:rsidR="0011757F" w:rsidRDefault="00C60F87">
      <w:pPr>
        <w:pStyle w:val="a3"/>
        <w:numPr>
          <w:ilvl w:val="0"/>
          <w:numId w:val="1"/>
        </w:numPr>
        <w:tabs>
          <w:tab w:val="left" w:pos="707"/>
        </w:tabs>
        <w:spacing w:after="0"/>
      </w:pPr>
      <w:r>
        <w:t>Collins &amp; Steichele, 2000, p. 202.</w:t>
      </w:r>
    </w:p>
    <w:p w:rsidR="0011757F" w:rsidRDefault="00C60F87">
      <w:pPr>
        <w:pStyle w:val="a3"/>
        <w:numPr>
          <w:ilvl w:val="0"/>
          <w:numId w:val="1"/>
        </w:numPr>
        <w:tabs>
          <w:tab w:val="left" w:pos="707"/>
        </w:tabs>
        <w:spacing w:after="0"/>
      </w:pPr>
      <w:r>
        <w:t>Birken, 2007, Vol. Beyrut, pp. 29-30, 37.</w:t>
      </w:r>
    </w:p>
    <w:p w:rsidR="0011757F" w:rsidRDefault="00C60F87">
      <w:pPr>
        <w:pStyle w:val="a3"/>
        <w:numPr>
          <w:ilvl w:val="0"/>
          <w:numId w:val="1"/>
        </w:numPr>
        <w:tabs>
          <w:tab w:val="left" w:pos="707"/>
        </w:tabs>
        <w:spacing w:after="0"/>
      </w:pPr>
      <w:r>
        <w:t>Steichele, 1977—1981, p. 1015.3</w:t>
      </w:r>
    </w:p>
    <w:p w:rsidR="0011757F" w:rsidRDefault="00C60F87">
      <w:pPr>
        <w:pStyle w:val="a3"/>
        <w:numPr>
          <w:ilvl w:val="0"/>
          <w:numId w:val="1"/>
        </w:numPr>
        <w:tabs>
          <w:tab w:val="left" w:pos="707"/>
        </w:tabs>
        <w:spacing w:after="0"/>
      </w:pPr>
      <w:r>
        <w:t>Collins &amp; Steichele, 2000, p. 13.</w:t>
      </w:r>
    </w:p>
    <w:p w:rsidR="0011757F" w:rsidRDefault="00C60F87">
      <w:pPr>
        <w:pStyle w:val="a3"/>
        <w:numPr>
          <w:ilvl w:val="0"/>
          <w:numId w:val="1"/>
        </w:numPr>
        <w:tabs>
          <w:tab w:val="left" w:pos="707"/>
        </w:tabs>
        <w:spacing w:after="0"/>
      </w:pPr>
      <w:r>
        <w:t>Steichele, 1977—1981, p. 1015.4.</w:t>
      </w:r>
    </w:p>
    <w:p w:rsidR="0011757F" w:rsidRDefault="00C60F87">
      <w:pPr>
        <w:pStyle w:val="a3"/>
        <w:numPr>
          <w:ilvl w:val="0"/>
          <w:numId w:val="1"/>
        </w:numPr>
        <w:tabs>
          <w:tab w:val="left" w:pos="707"/>
        </w:tabs>
        <w:spacing w:after="0"/>
      </w:pPr>
      <w:r>
        <w:t>Русская почта в Османской империи</w:t>
      </w:r>
    </w:p>
    <w:p w:rsidR="0011757F" w:rsidRDefault="00C60F87">
      <w:pPr>
        <w:pStyle w:val="a3"/>
        <w:numPr>
          <w:ilvl w:val="0"/>
          <w:numId w:val="1"/>
        </w:numPr>
        <w:tabs>
          <w:tab w:val="left" w:pos="707"/>
        </w:tabs>
        <w:spacing w:after="0"/>
      </w:pPr>
      <w:r>
        <w:t>Steichele, 1991, pp. 347, 348, 352, 371.</w:t>
      </w:r>
    </w:p>
    <w:p w:rsidR="0011757F" w:rsidRDefault="00C60F87">
      <w:pPr>
        <w:pStyle w:val="a3"/>
        <w:numPr>
          <w:ilvl w:val="0"/>
          <w:numId w:val="1"/>
        </w:numPr>
        <w:tabs>
          <w:tab w:val="left" w:pos="707"/>
        </w:tabs>
        <w:spacing w:after="0"/>
      </w:pPr>
      <w:r>
        <w:t>Lindenberg, 1926, pp. 38-39.</w:t>
      </w:r>
    </w:p>
    <w:p w:rsidR="0011757F" w:rsidRDefault="00C60F87">
      <w:pPr>
        <w:pStyle w:val="a3"/>
        <w:numPr>
          <w:ilvl w:val="0"/>
          <w:numId w:val="1"/>
        </w:numPr>
        <w:tabs>
          <w:tab w:val="left" w:pos="707"/>
        </w:tabs>
        <w:spacing w:after="0"/>
      </w:pPr>
      <w:r>
        <w:t>Steichele, 1991, pp. 240, 246, 267.</w:t>
      </w:r>
    </w:p>
    <w:p w:rsidR="0011757F" w:rsidRDefault="00C60F87">
      <w:pPr>
        <w:pStyle w:val="a3"/>
        <w:numPr>
          <w:ilvl w:val="0"/>
          <w:numId w:val="1"/>
        </w:numPr>
        <w:tabs>
          <w:tab w:val="left" w:pos="707"/>
        </w:tabs>
        <w:spacing w:after="0"/>
      </w:pPr>
      <w:r>
        <w:t>Lindenberg, 1926, p. 29.</w:t>
      </w:r>
    </w:p>
    <w:p w:rsidR="0011757F" w:rsidRDefault="00C60F87">
      <w:pPr>
        <w:pStyle w:val="a3"/>
        <w:numPr>
          <w:ilvl w:val="0"/>
          <w:numId w:val="1"/>
        </w:numPr>
        <w:tabs>
          <w:tab w:val="left" w:pos="707"/>
        </w:tabs>
        <w:spacing w:after="0"/>
      </w:pPr>
      <w:r>
        <w:t>Steichele, 1991, pp. 240, 246, 267, 285.</w:t>
      </w:r>
    </w:p>
    <w:p w:rsidR="0011757F" w:rsidRDefault="00C60F87">
      <w:pPr>
        <w:pStyle w:val="a3"/>
        <w:numPr>
          <w:ilvl w:val="0"/>
          <w:numId w:val="1"/>
        </w:numPr>
        <w:tabs>
          <w:tab w:val="left" w:pos="707"/>
        </w:tabs>
        <w:spacing w:after="0"/>
      </w:pPr>
      <w:r>
        <w:t>Steichele, 1991, pp. 261, 265, 267, 285.</w:t>
      </w:r>
    </w:p>
    <w:p w:rsidR="0011757F" w:rsidRDefault="00C60F87">
      <w:pPr>
        <w:pStyle w:val="a3"/>
        <w:numPr>
          <w:ilvl w:val="0"/>
          <w:numId w:val="1"/>
        </w:numPr>
        <w:tabs>
          <w:tab w:val="left" w:pos="707"/>
        </w:tabs>
        <w:spacing w:after="0"/>
      </w:pPr>
      <w:r>
        <w:t>Lindenberg, 1926, p. 35.</w:t>
      </w:r>
    </w:p>
    <w:p w:rsidR="0011757F" w:rsidRDefault="00C60F87">
      <w:pPr>
        <w:pStyle w:val="a3"/>
        <w:numPr>
          <w:ilvl w:val="0"/>
          <w:numId w:val="1"/>
        </w:numPr>
        <w:tabs>
          <w:tab w:val="left" w:pos="707"/>
        </w:tabs>
        <w:spacing w:after="0"/>
      </w:pPr>
      <w:r>
        <w:t>Tranmer, 1976, p. 72.</w:t>
      </w:r>
    </w:p>
    <w:p w:rsidR="0011757F" w:rsidRDefault="00C60F87">
      <w:pPr>
        <w:pStyle w:val="a3"/>
        <w:numPr>
          <w:ilvl w:val="0"/>
          <w:numId w:val="1"/>
        </w:numPr>
        <w:tabs>
          <w:tab w:val="left" w:pos="707"/>
        </w:tabs>
        <w:spacing w:after="0"/>
      </w:pPr>
      <w:r>
        <w:t>Tranmer, 1976, pp. 59-62.</w:t>
      </w:r>
    </w:p>
    <w:p w:rsidR="0011757F" w:rsidRDefault="00C60F87">
      <w:pPr>
        <w:pStyle w:val="a3"/>
        <w:numPr>
          <w:ilvl w:val="0"/>
          <w:numId w:val="1"/>
        </w:numPr>
        <w:tabs>
          <w:tab w:val="left" w:pos="707"/>
        </w:tabs>
        <w:spacing w:after="0"/>
      </w:pPr>
      <w:r>
        <w:t>Lindenberg, 1926, p. 35</w:t>
      </w:r>
    </w:p>
    <w:p w:rsidR="0011757F" w:rsidRDefault="00C60F87">
      <w:pPr>
        <w:pStyle w:val="a3"/>
        <w:numPr>
          <w:ilvl w:val="0"/>
          <w:numId w:val="1"/>
        </w:numPr>
        <w:tabs>
          <w:tab w:val="left" w:pos="707"/>
        </w:tabs>
        <w:spacing w:after="0"/>
      </w:pPr>
      <w:r>
        <w:t>Steichele, 1991, pp. 240.</w:t>
      </w:r>
    </w:p>
    <w:p w:rsidR="0011757F" w:rsidRDefault="00C60F87">
      <w:pPr>
        <w:pStyle w:val="a3"/>
        <w:numPr>
          <w:ilvl w:val="0"/>
          <w:numId w:val="1"/>
        </w:numPr>
        <w:tabs>
          <w:tab w:val="left" w:pos="707"/>
        </w:tabs>
        <w:spacing w:after="0"/>
      </w:pPr>
      <w:r>
        <w:t>Tranmer, 1976, p. 55 — перечисляет только Ришон-ле-Цион, Петах-Тикву, Гедеру и Зихрон-Яаков.</w:t>
      </w:r>
    </w:p>
    <w:p w:rsidR="0011757F" w:rsidRDefault="00C60F87">
      <w:pPr>
        <w:pStyle w:val="a3"/>
        <w:numPr>
          <w:ilvl w:val="0"/>
          <w:numId w:val="1"/>
        </w:numPr>
        <w:tabs>
          <w:tab w:val="left" w:pos="707"/>
        </w:tabs>
        <w:spacing w:after="0"/>
      </w:pPr>
      <w:r>
        <w:t>Tranmer, 1976, pp. 55-66.</w:t>
      </w:r>
    </w:p>
    <w:p w:rsidR="0011757F" w:rsidRDefault="00C60F87">
      <w:pPr>
        <w:pStyle w:val="a3"/>
        <w:numPr>
          <w:ilvl w:val="0"/>
          <w:numId w:val="1"/>
        </w:numPr>
        <w:tabs>
          <w:tab w:val="left" w:pos="707"/>
        </w:tabs>
        <w:spacing w:after="0"/>
      </w:pPr>
      <w:r>
        <w:t>Tranmer, 1976, p. 57.</w:t>
      </w:r>
    </w:p>
    <w:p w:rsidR="0011757F" w:rsidRDefault="00C60F87">
      <w:pPr>
        <w:pStyle w:val="a3"/>
        <w:numPr>
          <w:ilvl w:val="0"/>
          <w:numId w:val="1"/>
        </w:numPr>
        <w:tabs>
          <w:tab w:val="left" w:pos="707"/>
        </w:tabs>
        <w:spacing w:after="0"/>
      </w:pPr>
      <w:r>
        <w:t>Lindenberg, 1926, pp. 30-32.</w:t>
      </w:r>
    </w:p>
    <w:p w:rsidR="0011757F" w:rsidRDefault="00C60F87">
      <w:pPr>
        <w:pStyle w:val="a3"/>
        <w:numPr>
          <w:ilvl w:val="0"/>
          <w:numId w:val="1"/>
        </w:numPr>
        <w:tabs>
          <w:tab w:val="left" w:pos="707"/>
        </w:tabs>
        <w:spacing w:after="0"/>
      </w:pPr>
      <w:r>
        <w:t>Steichele, 1990, pp. 133, 134, 161, 163, 175.</w:t>
      </w:r>
    </w:p>
    <w:p w:rsidR="0011757F" w:rsidRDefault="00C60F87">
      <w:pPr>
        <w:pStyle w:val="a3"/>
        <w:numPr>
          <w:ilvl w:val="0"/>
          <w:numId w:val="1"/>
        </w:numPr>
        <w:tabs>
          <w:tab w:val="left" w:pos="707"/>
        </w:tabs>
        <w:spacing w:after="0"/>
      </w:pPr>
      <w:r>
        <w:t>Lindenberg, 1926, pp. 25-26.</w:t>
      </w:r>
    </w:p>
    <w:p w:rsidR="0011757F" w:rsidRDefault="00C60F87">
      <w:pPr>
        <w:pStyle w:val="a3"/>
        <w:numPr>
          <w:ilvl w:val="0"/>
          <w:numId w:val="1"/>
        </w:numPr>
        <w:tabs>
          <w:tab w:val="left" w:pos="707"/>
        </w:tabs>
        <w:spacing w:after="0"/>
      </w:pPr>
      <w:r>
        <w:t>Французская почта в Османской империи</w:t>
      </w:r>
    </w:p>
    <w:p w:rsidR="0011757F" w:rsidRDefault="00C60F87">
      <w:pPr>
        <w:pStyle w:val="a3"/>
        <w:numPr>
          <w:ilvl w:val="0"/>
          <w:numId w:val="1"/>
        </w:numPr>
        <w:tabs>
          <w:tab w:val="left" w:pos="707"/>
        </w:tabs>
        <w:spacing w:after="0"/>
      </w:pPr>
      <w:r>
        <w:t>Letter by A. J. Revell. // Thamep Magazine, Vol. 2, no. 2, March/April 1958, p.360.</w:t>
      </w:r>
    </w:p>
    <w:p w:rsidR="0011757F" w:rsidRDefault="00C60F87">
      <w:pPr>
        <w:pStyle w:val="a3"/>
        <w:numPr>
          <w:ilvl w:val="0"/>
          <w:numId w:val="1"/>
        </w:numPr>
        <w:tabs>
          <w:tab w:val="left" w:pos="707"/>
        </w:tabs>
        <w:spacing w:after="0"/>
      </w:pPr>
      <w:r>
        <w:t>Forsyth, 1861, p. 117.</w:t>
      </w:r>
    </w:p>
    <w:p w:rsidR="0011757F" w:rsidRDefault="00C60F87">
      <w:pPr>
        <w:pStyle w:val="a3"/>
        <w:numPr>
          <w:ilvl w:val="0"/>
          <w:numId w:val="1"/>
        </w:numPr>
        <w:tabs>
          <w:tab w:val="left" w:pos="707"/>
        </w:tabs>
        <w:spacing w:after="0"/>
      </w:pPr>
      <w:r>
        <w:t>Steichele, 1990, pp. 33, 45.</w:t>
      </w:r>
    </w:p>
    <w:p w:rsidR="0011757F" w:rsidRDefault="00C60F87">
      <w:pPr>
        <w:pStyle w:val="a3"/>
        <w:numPr>
          <w:ilvl w:val="0"/>
          <w:numId w:val="1"/>
        </w:numPr>
        <w:tabs>
          <w:tab w:val="left" w:pos="707"/>
        </w:tabs>
        <w:spacing w:after="0"/>
      </w:pPr>
      <w:r>
        <w:t>Lindenberg, 1926, p. 18.</w:t>
      </w:r>
    </w:p>
    <w:p w:rsidR="0011757F" w:rsidRDefault="00C60F87">
      <w:pPr>
        <w:pStyle w:val="a3"/>
        <w:numPr>
          <w:ilvl w:val="0"/>
          <w:numId w:val="1"/>
        </w:numPr>
        <w:tabs>
          <w:tab w:val="left" w:pos="707"/>
        </w:tabs>
        <w:spacing w:after="0"/>
      </w:pPr>
      <w:r>
        <w:t>Steichele, 1990, pp. 66, 70, 76, 72, 78, 81, 83.</w:t>
      </w:r>
    </w:p>
    <w:p w:rsidR="0011757F" w:rsidRDefault="00C60F87">
      <w:pPr>
        <w:pStyle w:val="a3"/>
        <w:numPr>
          <w:ilvl w:val="0"/>
          <w:numId w:val="1"/>
        </w:numPr>
        <w:tabs>
          <w:tab w:val="left" w:pos="707"/>
        </w:tabs>
        <w:spacing w:after="0"/>
      </w:pPr>
      <w:r>
        <w:t>Steichele, 1990, pp. 33, 87.</w:t>
      </w:r>
    </w:p>
    <w:p w:rsidR="0011757F" w:rsidRDefault="00C60F87">
      <w:pPr>
        <w:pStyle w:val="a3"/>
        <w:numPr>
          <w:ilvl w:val="0"/>
          <w:numId w:val="1"/>
        </w:numPr>
        <w:tabs>
          <w:tab w:val="left" w:pos="707"/>
        </w:tabs>
        <w:spacing w:after="0"/>
      </w:pPr>
      <w:r>
        <w:t>Rachwalsky &amp; Jacobs, 1962.</w:t>
      </w:r>
    </w:p>
    <w:p w:rsidR="0011757F" w:rsidRDefault="00C60F87">
      <w:pPr>
        <w:pStyle w:val="a3"/>
        <w:numPr>
          <w:ilvl w:val="0"/>
          <w:numId w:val="1"/>
        </w:numPr>
        <w:tabs>
          <w:tab w:val="left" w:pos="707"/>
        </w:tabs>
        <w:spacing w:after="0"/>
      </w:pPr>
      <w:r>
        <w:t>Steichele, 1990, p. 63</w:t>
      </w:r>
    </w:p>
    <w:p w:rsidR="0011757F" w:rsidRDefault="00C60F87">
      <w:pPr>
        <w:pStyle w:val="a3"/>
        <w:numPr>
          <w:ilvl w:val="0"/>
          <w:numId w:val="1"/>
        </w:numPr>
        <w:tabs>
          <w:tab w:val="left" w:pos="707"/>
        </w:tabs>
        <w:spacing w:after="0"/>
      </w:pPr>
      <w:r>
        <w:t>Lindenberg, 1926, pp. 19-20.</w:t>
      </w:r>
    </w:p>
    <w:p w:rsidR="0011757F" w:rsidRDefault="00C60F87">
      <w:pPr>
        <w:pStyle w:val="a3"/>
        <w:numPr>
          <w:ilvl w:val="0"/>
          <w:numId w:val="1"/>
        </w:numPr>
        <w:tabs>
          <w:tab w:val="left" w:pos="707"/>
        </w:tabs>
        <w:spacing w:after="0"/>
      </w:pPr>
      <w:r>
        <w:t>Steichele, 1990, p. 66.</w:t>
      </w:r>
    </w:p>
    <w:p w:rsidR="0011757F" w:rsidRDefault="00C60F87">
      <w:pPr>
        <w:pStyle w:val="a3"/>
        <w:numPr>
          <w:ilvl w:val="0"/>
          <w:numId w:val="1"/>
        </w:numPr>
        <w:tabs>
          <w:tab w:val="left" w:pos="707"/>
        </w:tabs>
        <w:spacing w:after="0"/>
      </w:pPr>
      <w:r>
        <w:t>Steichele, 1991, p. 198.</w:t>
      </w:r>
    </w:p>
    <w:p w:rsidR="0011757F" w:rsidRDefault="00C60F87">
      <w:pPr>
        <w:pStyle w:val="a3"/>
        <w:numPr>
          <w:ilvl w:val="0"/>
          <w:numId w:val="1"/>
        </w:numPr>
        <w:tabs>
          <w:tab w:val="left" w:pos="707"/>
        </w:tabs>
        <w:spacing w:after="0"/>
      </w:pPr>
      <w:r>
        <w:t>Lindenberg, 1926, p. 27.</w:t>
      </w:r>
    </w:p>
    <w:p w:rsidR="0011757F" w:rsidRDefault="00C60F87">
      <w:pPr>
        <w:pStyle w:val="a3"/>
        <w:numPr>
          <w:ilvl w:val="0"/>
          <w:numId w:val="1"/>
        </w:numPr>
        <w:tabs>
          <w:tab w:val="left" w:pos="707"/>
        </w:tabs>
        <w:spacing w:after="0"/>
      </w:pPr>
      <w:r>
        <w:t>Rachwalsky, 1957</w:t>
      </w:r>
    </w:p>
    <w:p w:rsidR="0011757F" w:rsidRDefault="00C60F87">
      <w:pPr>
        <w:pStyle w:val="a3"/>
        <w:numPr>
          <w:ilvl w:val="0"/>
          <w:numId w:val="1"/>
        </w:numPr>
        <w:tabs>
          <w:tab w:val="left" w:pos="707"/>
        </w:tabs>
        <w:spacing w:after="0"/>
      </w:pPr>
      <w:r>
        <w:t>Steichele, 1991, p. 200.</w:t>
      </w:r>
    </w:p>
    <w:p w:rsidR="0011757F" w:rsidRDefault="00C60F87">
      <w:pPr>
        <w:pStyle w:val="a3"/>
        <w:numPr>
          <w:ilvl w:val="0"/>
          <w:numId w:val="1"/>
        </w:numPr>
        <w:tabs>
          <w:tab w:val="left" w:pos="707"/>
        </w:tabs>
        <w:spacing w:after="0"/>
      </w:pPr>
      <w:r>
        <w:t>Lindenberg, 1926, p. 28.</w:t>
      </w:r>
    </w:p>
    <w:p w:rsidR="0011757F" w:rsidRDefault="00C60F87">
      <w:pPr>
        <w:pStyle w:val="a3"/>
        <w:numPr>
          <w:ilvl w:val="0"/>
          <w:numId w:val="1"/>
        </w:numPr>
        <w:tabs>
          <w:tab w:val="left" w:pos="707"/>
        </w:tabs>
        <w:spacing w:after="0"/>
      </w:pPr>
      <w:r>
        <w:t>Steichele, 1990, p. 13.</w:t>
      </w:r>
    </w:p>
    <w:p w:rsidR="0011757F" w:rsidRDefault="00C60F87">
      <w:pPr>
        <w:pStyle w:val="a3"/>
        <w:numPr>
          <w:ilvl w:val="0"/>
          <w:numId w:val="1"/>
        </w:numPr>
        <w:tabs>
          <w:tab w:val="left" w:pos="707"/>
        </w:tabs>
        <w:spacing w:after="0"/>
      </w:pPr>
      <w:r>
        <w:t>Steichele, 1990, p. 14.</w:t>
      </w:r>
    </w:p>
    <w:p w:rsidR="0011757F" w:rsidRDefault="00C60F87">
      <w:pPr>
        <w:pStyle w:val="a3"/>
        <w:numPr>
          <w:ilvl w:val="0"/>
          <w:numId w:val="1"/>
        </w:numPr>
        <w:tabs>
          <w:tab w:val="left" w:pos="707"/>
        </w:tabs>
        <w:spacing w:after="0"/>
      </w:pPr>
      <w:r>
        <w:rPr>
          <w:i/>
          <w:iCs/>
        </w:rPr>
        <w:t>Sacher, Michael M.</w:t>
      </w:r>
      <w:r>
        <w:t xml:space="preserve"> The Egyptian post office in Jaffa. // The BAPIP Bulletin. No. 83, 1975, p. 14</w:t>
      </w:r>
    </w:p>
    <w:p w:rsidR="0011757F" w:rsidRDefault="00C60F87">
      <w:pPr>
        <w:pStyle w:val="a3"/>
        <w:numPr>
          <w:ilvl w:val="0"/>
          <w:numId w:val="1"/>
        </w:numPr>
        <w:tabs>
          <w:tab w:val="left" w:pos="707"/>
        </w:tabs>
        <w:spacing w:after="0"/>
      </w:pPr>
      <w:r>
        <w:t>Steichele, 1990, p. 15.</w:t>
      </w:r>
    </w:p>
    <w:p w:rsidR="0011757F" w:rsidRDefault="00C60F87">
      <w:pPr>
        <w:pStyle w:val="a3"/>
        <w:numPr>
          <w:ilvl w:val="0"/>
          <w:numId w:val="1"/>
        </w:numPr>
        <w:tabs>
          <w:tab w:val="left" w:pos="707"/>
        </w:tabs>
        <w:spacing w:after="0"/>
      </w:pPr>
      <w:r>
        <w:t>Lindenberg, 1926, pp. 16-18.</w:t>
      </w:r>
    </w:p>
    <w:p w:rsidR="0011757F" w:rsidRDefault="00C60F87">
      <w:pPr>
        <w:pStyle w:val="a3"/>
        <w:numPr>
          <w:ilvl w:val="0"/>
          <w:numId w:val="1"/>
        </w:numPr>
        <w:tabs>
          <w:tab w:val="left" w:pos="707"/>
        </w:tabs>
        <w:spacing w:after="0"/>
      </w:pPr>
      <w:r>
        <w:t>Dorfman, 1989, p. 5.</w:t>
      </w:r>
    </w:p>
    <w:p w:rsidR="0011757F" w:rsidRDefault="00C60F87">
      <w:pPr>
        <w:pStyle w:val="a3"/>
        <w:numPr>
          <w:ilvl w:val="0"/>
          <w:numId w:val="1"/>
        </w:numPr>
        <w:tabs>
          <w:tab w:val="left" w:pos="707"/>
        </w:tabs>
        <w:spacing w:after="0"/>
      </w:pPr>
      <w:r>
        <w:t>Hoexter, 1970, p. 4</w:t>
      </w:r>
    </w:p>
    <w:p w:rsidR="0011757F" w:rsidRDefault="00C60F87">
      <w:pPr>
        <w:pStyle w:val="a3"/>
        <w:numPr>
          <w:ilvl w:val="0"/>
          <w:numId w:val="1"/>
        </w:numPr>
        <w:tabs>
          <w:tab w:val="left" w:pos="707"/>
        </w:tabs>
        <w:spacing w:after="0"/>
      </w:pPr>
      <w:r>
        <w:t>Dorfman, 1989, p. 7.</w:t>
      </w:r>
    </w:p>
    <w:p w:rsidR="0011757F" w:rsidRDefault="00C60F87">
      <w:pPr>
        <w:pStyle w:val="a3"/>
        <w:numPr>
          <w:ilvl w:val="0"/>
          <w:numId w:val="1"/>
        </w:numPr>
        <w:tabs>
          <w:tab w:val="left" w:pos="707"/>
        </w:tabs>
        <w:spacing w:after="0"/>
      </w:pPr>
      <w:r>
        <w:t>Hoexter, 1970, pp. 4, 28</w:t>
      </w:r>
    </w:p>
    <w:p w:rsidR="0011757F" w:rsidRDefault="00C60F87">
      <w:pPr>
        <w:pStyle w:val="a3"/>
        <w:numPr>
          <w:ilvl w:val="0"/>
          <w:numId w:val="1"/>
        </w:numPr>
        <w:tabs>
          <w:tab w:val="left" w:pos="707"/>
        </w:tabs>
        <w:spacing w:after="0"/>
      </w:pPr>
      <w:r>
        <w:t>Dorfman, 1989, p. 8.</w:t>
      </w:r>
    </w:p>
    <w:p w:rsidR="0011757F" w:rsidRDefault="00C60F87">
      <w:pPr>
        <w:pStyle w:val="a3"/>
        <w:numPr>
          <w:ilvl w:val="0"/>
          <w:numId w:val="1"/>
        </w:numPr>
        <w:tabs>
          <w:tab w:val="left" w:pos="707"/>
        </w:tabs>
        <w:spacing w:after="0"/>
      </w:pPr>
      <w:r>
        <w:t>Hoexter, 1970, pp. 5-7.</w:t>
      </w:r>
    </w:p>
    <w:p w:rsidR="0011757F" w:rsidRDefault="00C60F87">
      <w:pPr>
        <w:pStyle w:val="a3"/>
        <w:numPr>
          <w:ilvl w:val="0"/>
          <w:numId w:val="1"/>
        </w:numPr>
        <w:tabs>
          <w:tab w:val="left" w:pos="707"/>
        </w:tabs>
        <w:spacing w:after="0"/>
      </w:pPr>
      <w:r>
        <w:t>Dorfman, 1989, p. 17.</w:t>
      </w:r>
    </w:p>
    <w:p w:rsidR="0011757F" w:rsidRDefault="00C60F87">
      <w:pPr>
        <w:pStyle w:val="a3"/>
        <w:numPr>
          <w:ilvl w:val="0"/>
          <w:numId w:val="1"/>
        </w:numPr>
        <w:tabs>
          <w:tab w:val="left" w:pos="707"/>
        </w:tabs>
        <w:spacing w:after="0"/>
      </w:pPr>
      <w:r>
        <w:t>Hoexter, 1970, p. 25.</w:t>
      </w:r>
    </w:p>
    <w:p w:rsidR="0011757F" w:rsidRDefault="00C60F87">
      <w:pPr>
        <w:pStyle w:val="a3"/>
        <w:numPr>
          <w:ilvl w:val="0"/>
          <w:numId w:val="1"/>
        </w:numPr>
        <w:tabs>
          <w:tab w:val="left" w:pos="707"/>
        </w:tabs>
        <w:spacing w:after="0"/>
      </w:pPr>
      <w:r>
        <w:t>Mayo, 1984, p. 24.</w:t>
      </w:r>
    </w:p>
    <w:p w:rsidR="0011757F" w:rsidRDefault="00C60F87">
      <w:pPr>
        <w:pStyle w:val="a3"/>
        <w:numPr>
          <w:ilvl w:val="0"/>
          <w:numId w:val="1"/>
        </w:numPr>
        <w:tabs>
          <w:tab w:val="left" w:pos="707"/>
        </w:tabs>
        <w:spacing w:after="0"/>
      </w:pPr>
      <w:r>
        <w:t>Dorfman, 1989, p. 20.</w:t>
      </w:r>
    </w:p>
    <w:p w:rsidR="0011757F" w:rsidRDefault="00C60F87">
      <w:pPr>
        <w:pStyle w:val="a3"/>
        <w:numPr>
          <w:ilvl w:val="0"/>
          <w:numId w:val="1"/>
        </w:numPr>
        <w:tabs>
          <w:tab w:val="left" w:pos="707"/>
        </w:tabs>
        <w:spacing w:after="0"/>
      </w:pPr>
      <w:r>
        <w:t>Fisher, 1999, p. 215.</w:t>
      </w:r>
    </w:p>
    <w:p w:rsidR="0011757F" w:rsidRDefault="00C60F87">
      <w:pPr>
        <w:pStyle w:val="a3"/>
        <w:numPr>
          <w:ilvl w:val="0"/>
          <w:numId w:val="1"/>
        </w:numPr>
        <w:tabs>
          <w:tab w:val="left" w:pos="707"/>
        </w:tabs>
        <w:spacing w:after="0"/>
      </w:pPr>
      <w:r>
        <w:t>Dorfman, 1989, p. 23.</w:t>
      </w:r>
    </w:p>
    <w:p w:rsidR="0011757F" w:rsidRDefault="00C60F87">
      <w:pPr>
        <w:pStyle w:val="a3"/>
        <w:numPr>
          <w:ilvl w:val="0"/>
          <w:numId w:val="1"/>
        </w:numPr>
        <w:tabs>
          <w:tab w:val="left" w:pos="707"/>
        </w:tabs>
        <w:spacing w:after="0"/>
      </w:pPr>
      <w:r>
        <w:rPr>
          <w:i/>
          <w:iCs/>
        </w:rPr>
        <w:t>Tobias Zywietz</w:t>
      </w:r>
      <w:r>
        <w:t xml:space="preserve"> The First Overprint Issue "Jerusalem I" (1920) (2007-03-21). </w:t>
      </w:r>
    </w:p>
    <w:p w:rsidR="0011757F" w:rsidRDefault="00C60F87">
      <w:pPr>
        <w:pStyle w:val="a3"/>
        <w:numPr>
          <w:ilvl w:val="0"/>
          <w:numId w:val="1"/>
        </w:numPr>
        <w:tabs>
          <w:tab w:val="left" w:pos="707"/>
        </w:tabs>
        <w:spacing w:after="0"/>
      </w:pPr>
      <w:r>
        <w:t>(См. ст. 22 Палестинского мандата  (англ.))</w:t>
      </w:r>
    </w:p>
    <w:p w:rsidR="0011757F" w:rsidRDefault="00C60F87">
      <w:pPr>
        <w:pStyle w:val="a3"/>
        <w:numPr>
          <w:ilvl w:val="0"/>
          <w:numId w:val="1"/>
        </w:numPr>
        <w:tabs>
          <w:tab w:val="left" w:pos="707"/>
        </w:tabs>
        <w:spacing w:after="0"/>
      </w:pPr>
      <w:r>
        <w:t>Cohen, 1951.</w:t>
      </w:r>
    </w:p>
    <w:p w:rsidR="0011757F" w:rsidRDefault="00C60F87">
      <w:pPr>
        <w:pStyle w:val="a3"/>
        <w:numPr>
          <w:ilvl w:val="0"/>
          <w:numId w:val="1"/>
        </w:numPr>
        <w:tabs>
          <w:tab w:val="left" w:pos="707"/>
        </w:tabs>
        <w:spacing w:after="0"/>
      </w:pPr>
      <w:r>
        <w:t>Dorfman, 1989, p. 73.</w:t>
      </w:r>
    </w:p>
    <w:p w:rsidR="0011757F" w:rsidRDefault="00C60F87">
      <w:pPr>
        <w:pStyle w:val="a3"/>
        <w:numPr>
          <w:ilvl w:val="0"/>
          <w:numId w:val="1"/>
        </w:numPr>
        <w:tabs>
          <w:tab w:val="left" w:pos="707"/>
        </w:tabs>
        <w:spacing w:after="0"/>
      </w:pPr>
      <w:r>
        <w:t>Dorfman, 1989, p. 74.</w:t>
      </w:r>
    </w:p>
    <w:p w:rsidR="0011757F" w:rsidRDefault="00C60F87">
      <w:pPr>
        <w:pStyle w:val="a3"/>
        <w:numPr>
          <w:ilvl w:val="0"/>
          <w:numId w:val="1"/>
        </w:numPr>
        <w:tabs>
          <w:tab w:val="left" w:pos="707"/>
        </w:tabs>
        <w:spacing w:after="0"/>
      </w:pPr>
      <w:r>
        <w:t xml:space="preserve">Donald M. Reid (April 1984). «The Symbolism of Postage Stamps: A Source for the Historian». </w:t>
      </w:r>
      <w:r>
        <w:rPr>
          <w:i/>
          <w:iCs/>
        </w:rPr>
        <w:t>Journal of Contemporary History</w:t>
      </w:r>
      <w:r>
        <w:t xml:space="preserve"> </w:t>
      </w:r>
      <w:r>
        <w:rPr>
          <w:b/>
          <w:bCs/>
        </w:rPr>
        <w:t>19:2</w:t>
      </w:r>
      <w:r>
        <w:t>.</w:t>
      </w:r>
    </w:p>
    <w:p w:rsidR="0011757F" w:rsidRDefault="00C60F87">
      <w:pPr>
        <w:pStyle w:val="a3"/>
        <w:numPr>
          <w:ilvl w:val="0"/>
          <w:numId w:val="1"/>
        </w:numPr>
        <w:tabs>
          <w:tab w:val="left" w:pos="707"/>
        </w:tabs>
        <w:spacing w:after="0"/>
      </w:pPr>
      <w:r>
        <w:t>Proud, 2006, p. 14.</w:t>
      </w:r>
    </w:p>
    <w:p w:rsidR="0011757F" w:rsidRDefault="00C60F87">
      <w:pPr>
        <w:pStyle w:val="a3"/>
        <w:numPr>
          <w:ilvl w:val="0"/>
          <w:numId w:val="1"/>
        </w:numPr>
        <w:tabs>
          <w:tab w:val="left" w:pos="707"/>
        </w:tabs>
        <w:spacing w:after="0"/>
      </w:pPr>
      <w:r>
        <w:t>Baker, 1992, p. 187.</w:t>
      </w:r>
    </w:p>
    <w:p w:rsidR="0011757F" w:rsidRDefault="00C60F87">
      <w:pPr>
        <w:pStyle w:val="a3"/>
        <w:numPr>
          <w:ilvl w:val="0"/>
          <w:numId w:val="1"/>
        </w:numPr>
        <w:tabs>
          <w:tab w:val="left" w:pos="707"/>
        </w:tabs>
        <w:spacing w:after="0"/>
      </w:pPr>
      <w:r>
        <w:t>Proud, 2006, p. 15.</w:t>
      </w:r>
    </w:p>
    <w:p w:rsidR="0011757F" w:rsidRDefault="00C60F87">
      <w:pPr>
        <w:pStyle w:val="a3"/>
        <w:numPr>
          <w:ilvl w:val="0"/>
          <w:numId w:val="1"/>
        </w:numPr>
        <w:tabs>
          <w:tab w:val="left" w:pos="707"/>
        </w:tabs>
        <w:spacing w:after="0"/>
      </w:pPr>
      <w:r>
        <w:t>Proud, 2006, p. 17.</w:t>
      </w:r>
    </w:p>
    <w:p w:rsidR="0011757F" w:rsidRDefault="00C60F87">
      <w:pPr>
        <w:pStyle w:val="a3"/>
        <w:numPr>
          <w:ilvl w:val="0"/>
          <w:numId w:val="1"/>
        </w:numPr>
        <w:tabs>
          <w:tab w:val="left" w:pos="707"/>
        </w:tabs>
        <w:spacing w:after="0"/>
      </w:pPr>
      <w:r>
        <w:t>Rosenzweig, 1989, p. 136.</w:t>
      </w:r>
    </w:p>
    <w:p w:rsidR="0011757F" w:rsidRDefault="00C60F87">
      <w:pPr>
        <w:pStyle w:val="a3"/>
        <w:numPr>
          <w:ilvl w:val="0"/>
          <w:numId w:val="1"/>
        </w:numPr>
        <w:tabs>
          <w:tab w:val="left" w:pos="707"/>
        </w:tabs>
        <w:spacing w:after="0"/>
      </w:pPr>
      <w:r>
        <w:t>Ernst Fluri, 1973, pp. 6-7.</w:t>
      </w:r>
    </w:p>
    <w:p w:rsidR="0011757F" w:rsidRDefault="00C60F87">
      <w:pPr>
        <w:pStyle w:val="a3"/>
        <w:numPr>
          <w:ilvl w:val="0"/>
          <w:numId w:val="1"/>
        </w:numPr>
        <w:tabs>
          <w:tab w:val="left" w:pos="707"/>
        </w:tabs>
        <w:spacing w:after="0"/>
      </w:pPr>
      <w:r>
        <w:rPr>
          <w:i/>
          <w:iCs/>
        </w:rPr>
        <w:t>Tobias Zywietz.</w:t>
      </w:r>
      <w:r>
        <w:t xml:space="preserve"> The Postal Situation (1948—1967). // A Short Introduction To The Philately Of Palestine.</w:t>
      </w:r>
    </w:p>
    <w:p w:rsidR="0011757F" w:rsidRDefault="00C60F87">
      <w:pPr>
        <w:pStyle w:val="a3"/>
        <w:numPr>
          <w:ilvl w:val="0"/>
          <w:numId w:val="1"/>
        </w:numPr>
        <w:tabs>
          <w:tab w:val="left" w:pos="707"/>
        </w:tabs>
        <w:spacing w:after="0"/>
      </w:pPr>
      <w:r>
        <w:rPr>
          <w:i/>
          <w:iCs/>
        </w:rPr>
        <w:t>Goldwasser, Marcy A.</w:t>
      </w:r>
      <w:r>
        <w:t xml:space="preserve"> The French Connection. // The Jerusalem Post, August 28, 1992.</w:t>
      </w:r>
    </w:p>
    <w:p w:rsidR="0011757F" w:rsidRDefault="00C60F87">
      <w:pPr>
        <w:pStyle w:val="a3"/>
        <w:numPr>
          <w:ilvl w:val="0"/>
          <w:numId w:val="1"/>
        </w:numPr>
        <w:tabs>
          <w:tab w:val="left" w:pos="707"/>
        </w:tabs>
        <w:spacing w:after="0"/>
      </w:pPr>
      <w:r>
        <w:t xml:space="preserve">Ascher, Siegfried; Walter Mani (1966). «Französische Konsulatspost in Jerusalem». </w:t>
      </w:r>
      <w:r>
        <w:rPr>
          <w:i/>
          <w:iCs/>
        </w:rPr>
        <w:t>Der Israel-Philatelist</w:t>
      </w:r>
      <w:r>
        <w:t xml:space="preserve"> </w:t>
      </w:r>
      <w:r>
        <w:rPr>
          <w:b/>
          <w:bCs/>
        </w:rPr>
        <w:t>4</w:t>
      </w:r>
      <w:r>
        <w:t xml:space="preserve"> (17): 292–296.</w:t>
      </w:r>
    </w:p>
    <w:p w:rsidR="0011757F" w:rsidRDefault="00C60F87">
      <w:pPr>
        <w:pStyle w:val="a3"/>
        <w:numPr>
          <w:ilvl w:val="0"/>
          <w:numId w:val="1"/>
        </w:numPr>
        <w:tabs>
          <w:tab w:val="left" w:pos="707"/>
        </w:tabs>
        <w:spacing w:after="0"/>
      </w:pPr>
      <w:r>
        <w:t xml:space="preserve">Livnat, Raphaël (2006). «Jérusalem postes françaises 1948 : l'examen des critiques». </w:t>
      </w:r>
      <w:r>
        <w:rPr>
          <w:i/>
          <w:iCs/>
        </w:rPr>
        <w:t>Documents Philatéliques</w:t>
      </w:r>
      <w:r>
        <w:t xml:space="preserve"> (192): 3–17.</w:t>
      </w:r>
    </w:p>
    <w:p w:rsidR="0011757F" w:rsidRDefault="00C60F87">
      <w:pPr>
        <w:pStyle w:val="a3"/>
        <w:numPr>
          <w:ilvl w:val="0"/>
          <w:numId w:val="1"/>
        </w:numPr>
        <w:tabs>
          <w:tab w:val="left" w:pos="707"/>
        </w:tabs>
        <w:spacing w:after="0"/>
      </w:pPr>
      <w:r>
        <w:t>Fluri, 1973, pp. 8-9.</w:t>
      </w:r>
    </w:p>
    <w:p w:rsidR="0011757F" w:rsidRDefault="00C60F87">
      <w:pPr>
        <w:pStyle w:val="a3"/>
        <w:numPr>
          <w:ilvl w:val="0"/>
          <w:numId w:val="1"/>
        </w:numPr>
        <w:tabs>
          <w:tab w:val="left" w:pos="707"/>
        </w:tabs>
        <w:spacing w:after="0"/>
      </w:pPr>
      <w:r>
        <w:rPr>
          <w:i/>
          <w:iCs/>
        </w:rPr>
        <w:t>Kimmerly, Ian.</w:t>
      </w:r>
      <w:r>
        <w:t xml:space="preserve"> Jewish National Fund issues postal substitute. // The Globe and Mail (Canada). — July 22, 1989.  (англ.)</w:t>
      </w:r>
    </w:p>
    <w:p w:rsidR="0011757F" w:rsidRDefault="00C60F87">
      <w:pPr>
        <w:pStyle w:val="a3"/>
        <w:numPr>
          <w:ilvl w:val="0"/>
          <w:numId w:val="1"/>
        </w:numPr>
        <w:tabs>
          <w:tab w:val="left" w:pos="707"/>
        </w:tabs>
        <w:spacing w:after="0"/>
      </w:pPr>
      <w:r>
        <w:t>Fluri, 1973, pp. 15-16.</w:t>
      </w:r>
    </w:p>
    <w:p w:rsidR="0011757F" w:rsidRDefault="00C60F87">
      <w:pPr>
        <w:pStyle w:val="a3"/>
        <w:numPr>
          <w:ilvl w:val="0"/>
          <w:numId w:val="1"/>
        </w:numPr>
        <w:tabs>
          <w:tab w:val="left" w:pos="707"/>
        </w:tabs>
        <w:spacing w:after="0"/>
      </w:pPr>
      <w:r>
        <w:t>Fluri, 1973, pp. 13-14.</w:t>
      </w:r>
    </w:p>
    <w:p w:rsidR="0011757F" w:rsidRDefault="00C60F87">
      <w:pPr>
        <w:pStyle w:val="a3"/>
        <w:numPr>
          <w:ilvl w:val="0"/>
          <w:numId w:val="1"/>
        </w:numPr>
        <w:tabs>
          <w:tab w:val="left" w:pos="707"/>
        </w:tabs>
        <w:spacing w:after="0"/>
      </w:pPr>
      <w:r>
        <w:t>Fluri, 1973, p. 10.</w:t>
      </w:r>
    </w:p>
    <w:p w:rsidR="0011757F" w:rsidRDefault="00C60F87">
      <w:pPr>
        <w:pStyle w:val="a3"/>
        <w:numPr>
          <w:ilvl w:val="0"/>
          <w:numId w:val="1"/>
        </w:numPr>
        <w:tabs>
          <w:tab w:val="left" w:pos="707"/>
        </w:tabs>
        <w:spacing w:after="0"/>
      </w:pPr>
      <w:r>
        <w:t>Fluri, 1973, p. 11.</w:t>
      </w:r>
    </w:p>
    <w:p w:rsidR="0011757F" w:rsidRDefault="00C60F87">
      <w:pPr>
        <w:pStyle w:val="a3"/>
        <w:numPr>
          <w:ilvl w:val="0"/>
          <w:numId w:val="1"/>
        </w:numPr>
        <w:tabs>
          <w:tab w:val="left" w:pos="707"/>
        </w:tabs>
        <w:spacing w:after="0"/>
      </w:pPr>
      <w:r>
        <w:rPr>
          <w:i/>
          <w:iCs/>
        </w:rPr>
        <w:t>Goldwasser, Marcy A.</w:t>
      </w:r>
      <w:r>
        <w:t xml:space="preserve"> Seals of Approval. // The Jerusalem Post. — June 18, 1993.  (англ.)</w:t>
      </w:r>
    </w:p>
    <w:p w:rsidR="0011757F" w:rsidRDefault="00C60F87">
      <w:pPr>
        <w:pStyle w:val="a3"/>
        <w:numPr>
          <w:ilvl w:val="0"/>
          <w:numId w:val="1"/>
        </w:numPr>
        <w:tabs>
          <w:tab w:val="left" w:pos="707"/>
        </w:tabs>
        <w:spacing w:after="0"/>
      </w:pPr>
      <w:r>
        <w:rPr>
          <w:i/>
          <w:iCs/>
        </w:rPr>
        <w:t>Livni Israel</w:t>
      </w:r>
      <w:r>
        <w:t xml:space="preserve"> Livni's Encyclopedia of Israel Stamps. — Tel-Aviv: Sifriyat Ma'ariv, 1969. — P. 13–21.</w:t>
      </w:r>
    </w:p>
    <w:p w:rsidR="0011757F" w:rsidRDefault="00C60F87">
      <w:pPr>
        <w:pStyle w:val="a3"/>
        <w:numPr>
          <w:ilvl w:val="0"/>
          <w:numId w:val="1"/>
        </w:numPr>
        <w:tabs>
          <w:tab w:val="left" w:pos="707"/>
        </w:tabs>
        <w:spacing w:after="0"/>
      </w:pPr>
      <w:r>
        <w:rPr>
          <w:i/>
          <w:iCs/>
        </w:rPr>
        <w:t>Goldwasser, Marcy A.</w:t>
      </w:r>
      <w:r>
        <w:t xml:space="preserve"> The Emergency Stamp of Safed. // </w:t>
      </w:r>
      <w:r>
        <w:rPr>
          <w:i/>
          <w:iCs/>
        </w:rPr>
        <w:t>The Jerusalem Post</w:t>
      </w:r>
      <w:r>
        <w:t>. — November 6, 1992.</w:t>
      </w:r>
    </w:p>
    <w:p w:rsidR="0011757F" w:rsidRDefault="00C60F87">
      <w:pPr>
        <w:pStyle w:val="a3"/>
        <w:numPr>
          <w:ilvl w:val="0"/>
          <w:numId w:val="1"/>
        </w:numPr>
        <w:tabs>
          <w:tab w:val="left" w:pos="707"/>
        </w:tabs>
        <w:spacing w:after="0"/>
      </w:pPr>
      <w:r>
        <w:t>A. Ben-David, 1995, p. 71-74.</w:t>
      </w:r>
    </w:p>
    <w:p w:rsidR="0011757F" w:rsidRDefault="00C60F87">
      <w:pPr>
        <w:pStyle w:val="a3"/>
        <w:numPr>
          <w:ilvl w:val="0"/>
          <w:numId w:val="1"/>
        </w:numPr>
        <w:tabs>
          <w:tab w:val="left" w:pos="707"/>
        </w:tabs>
        <w:spacing w:after="0"/>
      </w:pPr>
      <w:r>
        <w:t>A. Ben-David, 1995, p. 74.</w:t>
      </w:r>
    </w:p>
    <w:p w:rsidR="0011757F" w:rsidRDefault="00C60F87">
      <w:pPr>
        <w:pStyle w:val="a3"/>
        <w:numPr>
          <w:ilvl w:val="0"/>
          <w:numId w:val="1"/>
        </w:numPr>
        <w:tabs>
          <w:tab w:val="left" w:pos="707"/>
        </w:tabs>
        <w:spacing w:after="0"/>
      </w:pPr>
      <w:r>
        <w:rPr>
          <w:i/>
          <w:iCs/>
        </w:rPr>
        <w:t>Goldwasser, Marcy A.</w:t>
      </w:r>
      <w:r>
        <w:t xml:space="preserve"> Armored Car Mail.//The Jerusalem Post. — January 17, 1992.</w:t>
      </w:r>
    </w:p>
    <w:p w:rsidR="0011757F" w:rsidRDefault="00C60F87">
      <w:pPr>
        <w:pStyle w:val="a3"/>
        <w:numPr>
          <w:ilvl w:val="0"/>
          <w:numId w:val="1"/>
        </w:numPr>
        <w:tabs>
          <w:tab w:val="left" w:pos="707"/>
        </w:tabs>
        <w:spacing w:after="0"/>
      </w:pPr>
      <w:r>
        <w:t>A. Ben-David (1995), p. 71.</w:t>
      </w:r>
    </w:p>
    <w:p w:rsidR="0011757F" w:rsidRDefault="00C60F87">
      <w:pPr>
        <w:pStyle w:val="a3"/>
        <w:numPr>
          <w:ilvl w:val="0"/>
          <w:numId w:val="1"/>
        </w:numPr>
        <w:tabs>
          <w:tab w:val="left" w:pos="707"/>
        </w:tabs>
        <w:spacing w:after="0"/>
      </w:pPr>
      <w:r>
        <w:rPr>
          <w:i/>
          <w:iCs/>
        </w:rPr>
        <w:t>Zywietz, Tobias.</w:t>
      </w:r>
      <w:r>
        <w:t xml:space="preserve"> «Egyptian: Definitives, Air &amp; Express Stamps 1948» //A Short Introduction To The Philately Of Palestine.</w:t>
      </w:r>
    </w:p>
    <w:p w:rsidR="0011757F" w:rsidRDefault="00C60F87">
      <w:pPr>
        <w:pStyle w:val="a3"/>
        <w:numPr>
          <w:ilvl w:val="0"/>
          <w:numId w:val="1"/>
        </w:numPr>
        <w:tabs>
          <w:tab w:val="left" w:pos="707"/>
        </w:tabs>
      </w:pPr>
      <w:r>
        <w:rPr>
          <w:i/>
          <w:iCs/>
        </w:rPr>
        <w:t>Zywietz, Tobias.</w:t>
      </w:r>
      <w:r>
        <w:t xml:space="preserve"> «Jordanian Occupation: Definitives 1948» // A Short Introduction To The Philately Of Palestine.</w:t>
      </w:r>
    </w:p>
    <w:p w:rsidR="0011757F" w:rsidRDefault="00C60F87">
      <w:pPr>
        <w:pStyle w:val="a3"/>
        <w:spacing w:after="0"/>
      </w:pPr>
      <w:r>
        <w:t>Источник: http://ru.wikipedia.org/wiki/История_почты_и_почтовых_марок_Палестины</w:t>
      </w:r>
      <w:bookmarkStart w:id="0" w:name="_GoBack"/>
      <w:bookmarkEnd w:id="0"/>
    </w:p>
    <w:sectPr w:rsidR="0011757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F87"/>
    <w:rsid w:val="0011757F"/>
    <w:rsid w:val="009243BC"/>
    <w:rsid w:val="00C6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D38CD-B932-463C-93AF-B7381C62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2"/>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5020</Words>
  <Characters>28617</Characters>
  <Application>Microsoft Office Word</Application>
  <DocSecurity>0</DocSecurity>
  <Lines>238</Lines>
  <Paragraphs>67</Paragraphs>
  <ScaleCrop>false</ScaleCrop>
  <Company/>
  <LinksUpToDate>false</LinksUpToDate>
  <CharactersWithSpaces>33570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2014-04-15T21:36:00Z</dcterms:created>
  <dcterms:modified xsi:type="dcterms:W3CDTF">2014-04-15T21:36:00Z</dcterms:modified>
</cp:coreProperties>
</file>