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Pr="00833DFC" w:rsidRDefault="00833DFC" w:rsidP="00833DFC">
      <w:pPr>
        <w:spacing w:line="360" w:lineRule="auto"/>
        <w:ind w:firstLine="709"/>
        <w:jc w:val="center"/>
        <w:rPr>
          <w:bCs/>
          <w:szCs w:val="28"/>
        </w:rPr>
      </w:pPr>
      <w:r w:rsidRPr="00833DFC">
        <w:rPr>
          <w:bCs/>
          <w:szCs w:val="28"/>
        </w:rPr>
        <w:t>Реферат</w:t>
      </w:r>
    </w:p>
    <w:p w:rsidR="00C46AAE" w:rsidRDefault="00E03861" w:rsidP="00833DFC">
      <w:pPr>
        <w:spacing w:line="360" w:lineRule="auto"/>
        <w:ind w:firstLine="709"/>
        <w:jc w:val="center"/>
        <w:rPr>
          <w:b/>
          <w:bCs/>
          <w:szCs w:val="28"/>
        </w:rPr>
      </w:pPr>
      <w:r w:rsidRPr="00833DFC">
        <w:rPr>
          <w:b/>
          <w:bCs/>
          <w:szCs w:val="28"/>
        </w:rPr>
        <w:t>История</w:t>
      </w:r>
      <w:r w:rsidR="00833DFC" w:rsidRPr="00833DFC">
        <w:rPr>
          <w:b/>
          <w:bCs/>
          <w:szCs w:val="28"/>
        </w:rPr>
        <w:t xml:space="preserve"> </w:t>
      </w:r>
      <w:r w:rsidRPr="00833DFC">
        <w:rPr>
          <w:b/>
          <w:bCs/>
          <w:szCs w:val="28"/>
        </w:rPr>
        <w:t>возникновения</w:t>
      </w:r>
      <w:r w:rsidR="00833DFC" w:rsidRPr="00833DFC">
        <w:rPr>
          <w:b/>
          <w:bCs/>
          <w:szCs w:val="28"/>
        </w:rPr>
        <w:t xml:space="preserve"> </w:t>
      </w:r>
      <w:r w:rsidRPr="00833DFC">
        <w:rPr>
          <w:b/>
          <w:bCs/>
          <w:szCs w:val="28"/>
        </w:rPr>
        <w:t>и</w:t>
      </w:r>
      <w:r w:rsidR="00833DFC" w:rsidRPr="00833DFC">
        <w:rPr>
          <w:b/>
          <w:bCs/>
          <w:szCs w:val="28"/>
        </w:rPr>
        <w:t xml:space="preserve"> </w:t>
      </w:r>
      <w:r w:rsidRPr="00833DFC">
        <w:rPr>
          <w:b/>
          <w:bCs/>
          <w:szCs w:val="28"/>
        </w:rPr>
        <w:t>деятельности</w:t>
      </w:r>
      <w:r w:rsidR="00833DFC" w:rsidRPr="00833DFC">
        <w:rPr>
          <w:b/>
          <w:bCs/>
          <w:szCs w:val="28"/>
        </w:rPr>
        <w:t xml:space="preserve"> </w:t>
      </w:r>
      <w:r w:rsidRPr="00833DFC">
        <w:rPr>
          <w:b/>
          <w:bCs/>
          <w:szCs w:val="28"/>
        </w:rPr>
        <w:t>основных</w:t>
      </w:r>
      <w:r w:rsidR="00833DFC" w:rsidRPr="00833DFC">
        <w:rPr>
          <w:b/>
          <w:bCs/>
          <w:szCs w:val="28"/>
        </w:rPr>
        <w:t xml:space="preserve"> </w:t>
      </w:r>
      <w:r w:rsidRPr="00833DFC">
        <w:rPr>
          <w:b/>
          <w:bCs/>
          <w:szCs w:val="28"/>
        </w:rPr>
        <w:t>курдских</w:t>
      </w:r>
      <w:r w:rsidR="00833DFC" w:rsidRPr="00833DFC">
        <w:rPr>
          <w:b/>
          <w:bCs/>
          <w:szCs w:val="28"/>
        </w:rPr>
        <w:t xml:space="preserve"> </w:t>
      </w:r>
      <w:r w:rsidRPr="00833DFC">
        <w:rPr>
          <w:b/>
          <w:bCs/>
          <w:szCs w:val="28"/>
        </w:rPr>
        <w:t>партий</w:t>
      </w: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 w:rsidP="00833DFC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833DFC" w:rsidRDefault="00833DFC">
      <w:pPr>
        <w:spacing w:after="200" w:line="276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ходе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борьбы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возрождение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единства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потерянного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подписания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Лозаннского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мирного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договора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(24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июля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1923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г.),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активисты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создавали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различные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политические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общественные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организации,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набирали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силу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разрастались,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другие,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напротив,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утрачивали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позиции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прекращали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существование.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Территориальная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раздробленность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каждой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четырех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частей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существовал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правящий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режим,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привела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тому,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ходе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борьбы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самоопределение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выбирали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приемлемые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пути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достижению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вышеуказанной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цели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учетом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политической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ситуации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непосредственно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стране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проживания.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Расхождения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путях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следствие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привели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разногласиям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переросли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нежелание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отдельных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объединяться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соплеменниками.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Несмотря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заверения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друг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друга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взаимопонимании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поддержке,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нередко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вступали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открытую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конфронтацию,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приходили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консенсусу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вновь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расходились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стороны.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Наиболее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влиятельными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военно-политических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объединений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настоящего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времени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остаются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  <w:lang w:val="en-US"/>
        </w:rPr>
        <w:t>XX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веке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Демократическая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(ДПК)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Патриотический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союз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(ПСК).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практически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сразу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окончания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второй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мировой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войны.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1960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закон,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разрешающий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деятельность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политических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организаций.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легализована,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председателем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избран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Мустафа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Барзани.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М.Барзани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начал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политическую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деятельность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конце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20-х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начале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30-х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годов.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ближайшим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соратником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старшего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брата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Ахмеда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Барзани,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руководителя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восстания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1931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сторонниками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принимал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участие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образовании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Мехабадской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республики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Иране.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период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30-х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середины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70-х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годов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произошли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несколько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восстаний,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основной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целью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становление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защита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народа.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целью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активисты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штаб-квартира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находилась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центральных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улиц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Багдада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Мутанабби,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редакции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газеты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«Хабат»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(«Борьба»).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Программа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предусматривала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предоставление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проведение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аграрной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реформы,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национализацию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крупных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промышленных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предприятий,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увеличение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доходов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импорта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нефти,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использование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части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средств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для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развития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Курдистана1.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1961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началось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восстание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девяти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ожесточенной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борьбы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багдадское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вынуждено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подписать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соглашение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окончательно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оформлена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1974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марта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закон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№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33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предоставлении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народу».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соответствии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законом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предоставлялась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губернаторствам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(мухафазам),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административно-территориальным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округам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(каза)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уездам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(нахия),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численность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составляла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свыше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50%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общего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числа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населения.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образом,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вошли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губернаторства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Сулеймания,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Дохук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Эрбиль,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ставший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административным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центром2.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Однако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фактическими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режима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С.Хусейна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массовые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депортации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расстрелы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мирного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населения.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период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1975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1978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депортировано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свыше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350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тыс.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сожжено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250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деревень3.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1976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поднимает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новое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восстание,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подавлено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через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несколько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месяцев.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уехал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США,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умер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1979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Сын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Масуд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17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вступил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ряды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формирования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пешмарга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(«идущие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смерть»).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включен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состав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делегации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переговорах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Северном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1979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возглавил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продолжает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настоящего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времени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оставаться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руководителем.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немногословен,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корректен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крайне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осторожен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оценках.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реалистичный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подход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отсутствие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максимализма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постановке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политических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задач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позволили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наименьшими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затратами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реорганизовать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пересмотреть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программу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учетом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ближневосточной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ситуации.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Вторым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численности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влиянию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является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1975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ДжалялемХуссамеддином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Талабани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сторонниками.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Д.Талабани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1950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Через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активной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работы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возглавил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отделение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городе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Киркуке.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1953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избран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ЦК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Генеральным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секретарем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Союза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студентов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1954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вошел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Политбюро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переизбран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1958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закончил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юридический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факультет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Багдадского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университета.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Д.Талабани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возглавлял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редакции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газет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«Борьба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«Курдистан».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1977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Д.Талабани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избран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Генеральным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секретарем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противовес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союза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несогласные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направленными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принятого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марта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1974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закона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№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33.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совместно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другими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политическими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силами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приступил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сотрудничеству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органов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управления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открытым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вызовом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1978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формированиями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начались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открытые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боевые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действия,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прекращались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лишь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незначительное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время.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1991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окончания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войны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Заливе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установления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перешли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новый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этап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взаимоотношений.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1992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провинциях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Дохук,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Сулеймания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Эрбильпрошли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парламентские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выборы,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результате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51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место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100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заняла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49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Однако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стабилизировало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ситуацию.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условиях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экономической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блокады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экспорт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импорт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большинства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товаров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незаконными.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удерживало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операций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сфере,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создавали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внушительный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источник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доходов.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Именно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неравномерное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распределение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(79%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получала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ДПК)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причиной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для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ухудшения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отношений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партиями.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Руководство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ссылаясь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источники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информации,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говорило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доходы,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получаемые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основном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оседали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карманах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лидеров.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Согласно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заявлениям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соратников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Д.Талабани,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вкладывала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развитие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лишь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незначительную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часть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доходов,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остальное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использовала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интересах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формирований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личные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нужды.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очередь,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опровергала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указывая,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послевоенном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процесс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восстановления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промышленности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сельского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хозяйства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займет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длительное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время,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текущем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этапе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значительные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инвестиции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различные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отрасли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хозяйства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просто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заметны4.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1994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начался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конфликт,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расколовший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две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части.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результате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Сулеймании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собственное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состав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вошли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тогда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Дохуке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Эрбиле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положение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контролировала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размежевание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усугублялось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еще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северу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западу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реки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Большой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Заб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(районы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ДПК)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говорят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диалекте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курманджи,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югу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диалекте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сорани5.</w:t>
      </w:r>
    </w:p>
    <w:p w:rsidR="00C46AAE" w:rsidRPr="00833DFC" w:rsidRDefault="00C46AAE" w:rsidP="00833DFC">
      <w:pPr>
        <w:pStyle w:val="a7"/>
        <w:ind w:firstLine="709"/>
        <w:rPr>
          <w:szCs w:val="28"/>
        </w:rPr>
      </w:pP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период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конфликту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подключились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формирования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Рабочей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Созданную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конце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70-х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годов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возглавлял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Абдулла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Оджалан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(партийный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псевдоним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Сарок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Апо).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родился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4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апреля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1949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поступил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политологический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факультет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Анкарского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университета.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1972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арестован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участие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митинге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протеста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расстрела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мирных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граждан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Кызылдере.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выхода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тюрьмы,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провел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7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месяцев,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Оджалан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активное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участие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деятельности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курдских,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турецких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антиправительственных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организаций.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1978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соратниками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инициатором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«Армии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освобождения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народа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временем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вошли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свыше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15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тыс.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чел.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Рассматривая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период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конфронтации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партиями,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находящийся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1999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тюрьме,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назвал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«олицетворением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организации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примитивно-националистического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толка»,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появление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«язвой,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покрывающей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струпьями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освободительное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движение».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словам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межпартийный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конфликт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«периодом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деградации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соглашательства,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несравнимый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масштабам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даже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прежней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родоплеменной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эпохой».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утверждал,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«борьба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политические,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военные,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дипломатические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материальные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интересы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проходила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счет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авторитета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именно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интересы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«сыграли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основную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роль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компрометации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изоляции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лидера»6.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Резкая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критика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едва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обоснована.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Несмотря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противоречия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конфликты,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весь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период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борьбы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удалось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выполнить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основную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задачу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выделить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автономию.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Безусловно,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ходе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борьбы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допускали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ошибки,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сама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постоянно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подвергалась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сильному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воздействию.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менее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более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продуктивна,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Турции.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Объективных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причин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для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противоречий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можно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назвать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несколько.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находилось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относительно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неплохих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отношениях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Турции,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выгоден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нелегальный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торговый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оборот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Ираком.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руководителями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высокопоставленными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турецкими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чиновниками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регулярно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проходили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консультации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переговоры,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договаривались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взаимовыгодном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сотрудничестве.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Понимая,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режим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С.Ху-сейна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удержит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определенных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рамках,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Турция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охотно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шла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компромисс.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очередь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сближение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совершенно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устраивало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для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Анкара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врагом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номер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один.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Санкции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турецкого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понуждали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активным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действиям,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направленным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дестабилизацию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турецкого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общества.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огромная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часть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доходов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таможенных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сборов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границе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обходила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причем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караванные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пути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Турции,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велся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импорт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экспорт,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проходили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преимущественно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населением.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некоему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компромиссу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пришли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лишь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октябре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1996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начался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процесс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стабилизации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межпартийных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взаимоотношений,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ходе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решили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распределять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доходы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таможенных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сборов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равномерно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Сближению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подписанию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сентябре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1998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соглашения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мирном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урегулировании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межкурдского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конфликта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(соглашение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подписано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Вашингтоне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посредничестве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США)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отчасти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поспособствовало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ставили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собой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задачу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окончательного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разделения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влияния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выхода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состава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целью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объединения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всех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частей.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сумели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договориться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признал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действующий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Парламент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созыва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1992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согласилась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провести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первое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объединенное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заседание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Эрбиле,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второе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Сулеймании.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Председательствовать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заседаниях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протяжении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трех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месяцев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должен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представитель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течение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последующих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двух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представитель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образом,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договорились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работе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объединенного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парламента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ходе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предстоящих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выборов,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проведение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запланировано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через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полгода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возобновления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работы.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показали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дальнейшие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события,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сближение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совершенно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устраивало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14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сентября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отряды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базы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Рзга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Мараду.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день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командование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выступило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поводу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провокаций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говорилось,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распространяет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необоснованные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утверждения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отряды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пешмарга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формирования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горах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близ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Сулеймании.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Ранее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О.Оджалан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(брат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А.Оджалана)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заявлял,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получил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80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млн.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долл.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качестве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награды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борьбу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Еще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один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представитель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Д.Баик,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утверждал,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пешмарга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совместно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турецкими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формированиями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воюют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активизировала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пропагандистскую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кампанию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того,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осужденный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Региональное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проводит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политику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феодального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федерализма,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направленную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Турции.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О.Оджалан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арабской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еженедельной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газете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«Аль-Васат»,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«федерализм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орудие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империализма,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направленное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арабской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нации».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утверждает,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видит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угрозу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для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лице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Талабани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Барзани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связи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готов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бороться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чтобы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«покончить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властными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феодалами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Талабани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Барзани».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заявил,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готова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сражаться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конца,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поставит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Талабани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Барзани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колени».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Продолжая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указал,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«руководство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начинает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борьбу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из-за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маниакальной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убежденности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является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единственным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народа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из-за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неприкрытой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враждебности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институтам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самоуправления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Курдистана»7.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17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сентября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присоединились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трудящихся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коммунистическая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партия.Они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выступили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критикой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адрес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обвинили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«искусственном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разжигании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конфликта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Северного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Руководители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дополнив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ранее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сделанное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указали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образом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«отплатила»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прошлую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поддержку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деятельности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Союза.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напомнил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факт,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1997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турецкое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обвинило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помощи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провело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бойцов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военную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операцию,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ходе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погибли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300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пешмарга8.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Говоря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политике,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проводимой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территориях,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отмечали,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ареста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приверженцем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кемалистского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строя,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отошел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идеи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независимости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перешел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идее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культурной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приказы,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касающиеся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роспуска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парламента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изгнании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прекращения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сопротивления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мнению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меньшей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мере,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непонятны.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более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непонятным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обращение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просьбой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ряды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Турцию,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«почему-то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образцом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демократии».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отмечали,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раньше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боевые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формированиями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велись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приграничных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районах,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теперь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ведутся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районе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Карадага,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находящегося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контролем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Багдада9.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началу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военной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операции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США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принципе,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наладили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взаимоотношения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смогли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координировать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действия,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причиняя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вреда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друг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другу.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8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января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резиденции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«Салах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ад-Дин»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состоялась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встреча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Д.Талабани.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решение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проводить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постоянные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консультативные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встречи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20–21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января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городе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Кала-Чолан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состоялись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первые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встречи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Политбюро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результатам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совместное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стороны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подтвердили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приверженность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вышеуказанному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Вашингтонскому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соглашению10.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апреле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Сулеймании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состоялась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очередная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встреча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представителей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окончательно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решен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вопрос,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связанный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финансированием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Региональным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провинции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Сулейманиа.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достигнута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договоренность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обмене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пленными,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захваченными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ходе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ранее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проходивших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конфликтов.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арестованные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подконтрольной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подлежали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безоговорочному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освобождению,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находящиеся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арестом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подконтрольных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территориях.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дальнейшем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совместными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усилиями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достигли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значительного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успеха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становлении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Региональное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утвердило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законопроект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министерства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человека,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повсеместно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открываться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школы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профессиональные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учебные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заведения.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Министерство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финансов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выделило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1,5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млн.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долл.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для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финансирования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программы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ликвидации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неграмотности.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издавалось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более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50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газет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журналов,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работали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десятки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радио-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телевизионных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станций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числе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спутниковые).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Повсеместно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шло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строительство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больниц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других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жизненно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необходимых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объектов.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встреч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руководители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решение,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согласно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отряды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должны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покинуть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«провокаторы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нестабильности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регионе».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Сама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переживала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сложнейший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этап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жизни.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Помимо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того,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лишилась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рядах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начался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раскол,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связанный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сменой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политики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2002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реорганизована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переименована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Конгресс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Свободы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11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ноября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2003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вновь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переименована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настоящем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называется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Народный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Конгресс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</w:t>
      </w:r>
      <w:r w:rsidRPr="00833DFC">
        <w:rPr>
          <w:szCs w:val="28"/>
          <w:lang w:val="en-US"/>
        </w:rPr>
        <w:t>KONGRA</w:t>
      </w:r>
      <w:r w:rsidRPr="00833DFC">
        <w:rPr>
          <w:szCs w:val="28"/>
        </w:rPr>
        <w:t>-</w:t>
      </w:r>
      <w:r w:rsidRPr="00833DFC">
        <w:rPr>
          <w:szCs w:val="28"/>
          <w:lang w:val="en-US"/>
        </w:rPr>
        <w:t>GEL</w:t>
      </w:r>
      <w:r w:rsidRPr="00833DFC">
        <w:rPr>
          <w:szCs w:val="28"/>
        </w:rPr>
        <w:t>)).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Примечательно,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КСДК,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ставший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правопреемником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провозгласил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демократию,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связи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формирования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подлежали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роспуску.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Тогда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появилась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«новая»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военная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организация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«Народные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силы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самообороны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(НСС).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отряды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находились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Турции,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Северном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объявив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подконтрольную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регионом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самообороны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«Мидия».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Охарактеризовывая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НСС,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называет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«гарантом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свободы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демократии»,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отмечая,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«важность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НСС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просто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огромна,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когда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угроза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турецкой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агрессии,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направленной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подавление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продолжает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надвигаться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народ».Руководство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КСДК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отмечало,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«отряды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самообороны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готовы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выступить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турецких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войск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приступить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вооруженному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сопротивлению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турецкой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оккупации»11.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очередь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руководители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считают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НСС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антидемократическими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стараются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вытеснить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сообщениям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агентства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«Месопотамия»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(принадлежащего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КСДК),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«вооруженные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формирования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организовывали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нападение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представителей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демократического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решения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(одна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ветвей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РПК),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ведущих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разъяснительную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работу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среди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мирного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населения».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связи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инцидентом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КСДК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обвиняет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«разжигании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военной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конфронтации»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подчеркивает,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«действия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вынуждают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ответным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действиям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НСС,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тяжесть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последствий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ляжет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плечи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Д.Талабани»12.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О.Оджалан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заявил,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«позиция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Д.Талабани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далека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национальных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интересов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направлена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мирного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решения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вопроса».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отметил,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только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стремится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согласию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консолидации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политическими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объединениями,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«болеет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стремлением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вмешиваться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внутренние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дела»13.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ответ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заявлял,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лишний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доказывают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консолидацию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Анкарой,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направленную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против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демократического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решения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вопроса.По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видимости,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А.Оджалан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образом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указал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дипломатические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встречи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представителей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турецким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Анкаре.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июле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2003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выступая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  <w:lang w:val="en-US"/>
        </w:rPr>
        <w:t>MEDYA</w:t>
      </w:r>
      <w:r w:rsidRPr="00833DFC">
        <w:rPr>
          <w:szCs w:val="28"/>
        </w:rPr>
        <w:t>-</w:t>
      </w:r>
      <w:r w:rsidRPr="00833DFC">
        <w:rPr>
          <w:szCs w:val="28"/>
          <w:lang w:val="en-US"/>
        </w:rPr>
        <w:t>TV</w:t>
      </w:r>
      <w:r w:rsidRPr="00833DFC">
        <w:rPr>
          <w:szCs w:val="28"/>
        </w:rPr>
        <w:t>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Совета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Президиума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КСДК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Д.Калкан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заявил,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«настоящем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этапе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натянутость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взаимоотношений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КСДК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непосредственно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связана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прямым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вмешательством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Анкары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процессы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демократизации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общества.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окрестностях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города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Батуфа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(южная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часть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Курдистана)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турецкий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спецназ,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переодевшись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форму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наших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партизан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(НСС),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совершил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нападение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блок-пост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совершено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нападение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мирных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жителей,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результате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погибли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человека».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связи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КСДК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выступает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заявлением,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«подобные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акции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Анкары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связаны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желанием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посеять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раздор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между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КСДК,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будут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иметь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успеха,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всегда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будут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едины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желании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установления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мира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земле»14.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Достаточно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сложно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охарактеризовать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взаимоотношения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политиков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период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2004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начало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2005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стороны,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совместными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усилиями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смогли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достичь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того,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переходной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конституции,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принятой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8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марта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Временным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управляющим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советом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(ВУС),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оговаривается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пункт,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согласно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имеют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блокировать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принятие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конституции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2005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образом,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если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устроят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положения,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будут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касаться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могут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воспользоваться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законным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блокирования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основного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закона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государства.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сумели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договориться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совместных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тактических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действиях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время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предвыборного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периода.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октябре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2004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решение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единой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администрации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Северном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Единое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находящееся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Эрбиле,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согласно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договоренности,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должен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возглавить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Д.Талабани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представлять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высших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структурах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государственной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власти.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процессе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подготовки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предвыборного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периода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пришли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соглашению,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Д.Талабани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может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общим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кандидатом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один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ключевых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постов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управлении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государством.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Лидеры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сделали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ряд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заявлений,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сводились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тому,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возможна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лишь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случае,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если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президента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премьер-министра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будет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занимать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представитель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народа,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словам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Д.Талабани,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без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поддержки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второго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численности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народа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невозможно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будет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сохранить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национальное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единство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стране.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очередь,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глава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эрбильского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неоднократно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отмечал,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«естественное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право»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получить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один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постов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знак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того,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считают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полноправными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партнерами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высших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эшелонах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власти.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другой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стороны,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создавая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альянс,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помимо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вошли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несколько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лидирующие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фактически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остались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каждая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программой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немаловажно,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позициями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отношении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будущего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занимает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более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мягкую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позицию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сравнению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позицией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Д.Талабани.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считает,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«время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микрогосударств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ушло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прошлое,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сейчас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необходимо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оставаться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интегрированной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частью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Сегодня,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мнению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вопрос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выходе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состава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совершенно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неактуален,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существуют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другие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рычаги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воздействия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позволяющие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курдам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сохранить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объеме15.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Несколько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позиция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данному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вопросу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Согласно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заявлениям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представителей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«курды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активно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добиваются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независимости,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останутся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иракцами,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если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Багдаде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примет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ключевые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требования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выборов».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Существуют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«три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красные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линии»,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должно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переступать».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случае,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если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арабы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примут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принципа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федерализма,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если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арабы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будут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настаивать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теократическом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режиме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если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вернут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обвиненных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ранее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терроризме,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больше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будут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иракцами»16.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Возможный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выход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состава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ключевых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обсуждаемых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мировым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сообществом.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Еще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декабре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2004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вручили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официальным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представителям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ООН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петицию,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подписанную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1,7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млн.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чел.,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говорилось,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требуют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провести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референдум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создании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независимого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государства.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Делегаты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Северного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Америки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Европы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заявили,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петиция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представлена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нынешнему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руководству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отвергло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идею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выхода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территорий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состава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страны.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день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выборов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избирательных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участках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Движением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референдум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возглавляемым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поэтом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Ш.Бекасом,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установлены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дополнительные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урны,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воспользоваться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предложили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избирателям,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пожелавшим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ответить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вопрос: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«Вы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чтобы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оставаться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частью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независимый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Курдистан?».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фоне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предположительном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выходе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состава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акция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выглядела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четкий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признак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того,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ближайшее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время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действительно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начнут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подготовку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процессу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отделения.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же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100%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проголосовавших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данным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вопросам,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90%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согласны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выход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лишь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10%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выступают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чтобы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оставаться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составе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Официально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считать,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имеют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отношения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проведенному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референдуму.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Однако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если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внимание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лидеров,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сделанные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накануне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выборов,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вполне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очевидным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станет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М.Барзани,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Дж.Талабани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могут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опираться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народ,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если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решат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провозгласить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отделение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Ирака.</w:t>
      </w:r>
      <w:r w:rsidR="00833DFC">
        <w:rPr>
          <w:szCs w:val="28"/>
        </w:rPr>
        <w:t xml:space="preserve"> </w:t>
      </w:r>
      <w:r w:rsidRPr="00833DFC">
        <w:rPr>
          <w:szCs w:val="28"/>
        </w:rPr>
        <w:t>Тем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менее,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мнению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наблюдателей,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партийный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авторитет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ПСК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несколько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пошатнулся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последнее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время.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основном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факт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связывают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тем,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несмотря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предпосылки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договоренности,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подконтрольные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зоны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продолжают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оставаться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двумя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микрогосударствами.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справедливо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заметил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один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членов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ДПК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А.Хамид,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глазах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арабских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выглядят,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мягко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сказать,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интересно,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наши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4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млн.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(приблизительная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численность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Ираке)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объединены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три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небольшие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провинции,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приходится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совершенно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независимых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правительства»17.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Помимо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собственно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проживающих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северной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части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существуют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так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называемые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курды-файли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–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курды-шииты,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проживающие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Багдаде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районах,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расположенных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вдоль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иракско-иранской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границы.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настоящее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время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представлены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политической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арене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двумя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партиями: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Исламским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союзом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курдов-файли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организацией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свободных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курдов-файли.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Обеими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партиями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было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принято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решение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участии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выборах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30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января,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причем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Исламский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союз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иракских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курдов-файли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пошел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выборы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самостоятельно,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организация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свободных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курдов-файли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вошла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блок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«Справедливость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будущее».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Основными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лозунгами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обеих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являются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построение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демократического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общества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Ираке,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котором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соблюдались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политическая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свобода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свобода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вероисповедания.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Курды-файли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резко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осуждают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все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акции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заявления,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касающиеся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выхода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Курдской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автономии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из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Ирака,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справедливо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предполагая,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что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случае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они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останутся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меньшинством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среди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арабского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населения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страны.</w:t>
      </w:r>
    </w:p>
    <w:p w:rsidR="00C46AAE" w:rsidRPr="00833DFC" w:rsidRDefault="00C46AAE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t>Таким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образом,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настоящем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этапе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курдские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партии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продолжают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борьбу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за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права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своего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народа,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выбирая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при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этом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различные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пути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методы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реализации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своих</w:t>
      </w:r>
      <w:r w:rsidR="00833DFC" w:rsidRPr="00833DFC">
        <w:rPr>
          <w:szCs w:val="28"/>
        </w:rPr>
        <w:t xml:space="preserve"> </w:t>
      </w:r>
      <w:r w:rsidRPr="00833DFC">
        <w:rPr>
          <w:szCs w:val="28"/>
        </w:rPr>
        <w:t>интересов.</w:t>
      </w:r>
    </w:p>
    <w:p w:rsidR="00E03861" w:rsidRPr="00833DFC" w:rsidRDefault="00E03861" w:rsidP="00833DFC">
      <w:pPr>
        <w:spacing w:line="360" w:lineRule="auto"/>
        <w:ind w:firstLine="709"/>
        <w:jc w:val="both"/>
        <w:rPr>
          <w:szCs w:val="28"/>
        </w:rPr>
      </w:pPr>
      <w:r w:rsidRPr="00833DFC">
        <w:rPr>
          <w:szCs w:val="28"/>
        </w:rPr>
        <w:br w:type="page"/>
      </w:r>
    </w:p>
    <w:p w:rsidR="00C46AAE" w:rsidRPr="00833DFC" w:rsidRDefault="00E03861" w:rsidP="00833DFC">
      <w:pPr>
        <w:spacing w:line="360" w:lineRule="auto"/>
        <w:ind w:firstLine="709"/>
        <w:jc w:val="both"/>
        <w:rPr>
          <w:b/>
          <w:bCs/>
          <w:szCs w:val="28"/>
        </w:rPr>
      </w:pPr>
      <w:r w:rsidRPr="00833DFC">
        <w:rPr>
          <w:b/>
          <w:bCs/>
          <w:szCs w:val="28"/>
        </w:rPr>
        <w:t>Список</w:t>
      </w:r>
      <w:r w:rsidR="00833DFC" w:rsidRPr="00833DFC">
        <w:rPr>
          <w:b/>
          <w:bCs/>
          <w:szCs w:val="28"/>
        </w:rPr>
        <w:t xml:space="preserve"> </w:t>
      </w:r>
      <w:r w:rsidRPr="00833DFC">
        <w:rPr>
          <w:b/>
          <w:bCs/>
          <w:szCs w:val="28"/>
        </w:rPr>
        <w:t>литературы</w:t>
      </w:r>
    </w:p>
    <w:p w:rsidR="00962F44" w:rsidRPr="00300858" w:rsidRDefault="00962F44" w:rsidP="00962F44">
      <w:pPr>
        <w:spacing w:line="360" w:lineRule="auto"/>
        <w:ind w:firstLine="709"/>
        <w:jc w:val="both"/>
        <w:rPr>
          <w:b/>
          <w:color w:val="FFFFFF"/>
          <w:szCs w:val="28"/>
        </w:rPr>
      </w:pPr>
      <w:r w:rsidRPr="00300858">
        <w:rPr>
          <w:b/>
          <w:color w:val="FFFFFF"/>
          <w:szCs w:val="28"/>
        </w:rPr>
        <w:t>курдский активист политический партия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1.Демченко П. Иракский Курдистан в огне. М., 1963, с. 25.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2.История Курдистана / Под ред. М.С. Лазарева и Ш.Х. Мгои. М., 1999, с. 391.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3.Анвар Адил. Курдский вопрос в Ираке. Автореф. канд. дисс. М., 2004, с. 12.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4.Курдистан. Симферополь, 2000, с. 39.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5.Геноцид в Иракском Курдистане / Под ред. С.М. Кочои. М., 2003, с. 42.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6.Оджалан А. От Шумерского государства жрецов к демократии цивилизации (Защитная речь на Европейском суде по правам человека). М., 2003, II, с. 205.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7.Шорш Саид. В чем заключаются интересы курдов? www.aha.ru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8.Исторический прорыв в отношениях курдских партий. www.kurdistan.ru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9.Новый передел мира взял старт // Свободный Курдистан. 2003, № 3.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10.Вооруженная провокация // Свободный Курдистан. 2002, № 2.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11.Демократия не рождается сама по себе // Свободный Курдистан. 2002, № 2.</w:t>
      </w:r>
    </w:p>
    <w:p w:rsidR="00833DFC" w:rsidRPr="00833DFC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12.Курдистан сегодня // Движение, 07.02.2005.</w:t>
      </w:r>
    </w:p>
    <w:p w:rsidR="00E4684A" w:rsidRDefault="00833DFC" w:rsidP="00833DFC">
      <w:pPr>
        <w:spacing w:line="360" w:lineRule="auto"/>
        <w:jc w:val="both"/>
        <w:rPr>
          <w:szCs w:val="28"/>
        </w:rPr>
      </w:pPr>
      <w:r w:rsidRPr="00833DFC">
        <w:rPr>
          <w:szCs w:val="28"/>
        </w:rPr>
        <w:t>13.События в Иракском Курдистане // Движение 07.02.2005, 28.01.2005.</w:t>
      </w:r>
    </w:p>
    <w:p w:rsidR="00962F44" w:rsidRPr="00300858" w:rsidRDefault="00962F44" w:rsidP="00833DFC">
      <w:pPr>
        <w:spacing w:line="360" w:lineRule="auto"/>
        <w:jc w:val="both"/>
        <w:rPr>
          <w:b/>
          <w:color w:val="FFFFFF"/>
          <w:szCs w:val="28"/>
        </w:rPr>
      </w:pPr>
    </w:p>
    <w:p w:rsidR="00962F44" w:rsidRPr="00300858" w:rsidRDefault="00962F44" w:rsidP="00962F44">
      <w:pPr>
        <w:spacing w:line="360" w:lineRule="auto"/>
        <w:jc w:val="center"/>
        <w:rPr>
          <w:b/>
          <w:color w:val="FFFFFF"/>
          <w:szCs w:val="28"/>
        </w:rPr>
      </w:pPr>
    </w:p>
    <w:p w:rsidR="00962F44" w:rsidRPr="00300858" w:rsidRDefault="00962F44" w:rsidP="00833DFC">
      <w:pPr>
        <w:spacing w:line="360" w:lineRule="auto"/>
        <w:jc w:val="both"/>
        <w:rPr>
          <w:b/>
          <w:color w:val="FFFFFF"/>
          <w:szCs w:val="28"/>
        </w:rPr>
      </w:pPr>
      <w:bookmarkStart w:id="0" w:name="_GoBack"/>
      <w:bookmarkEnd w:id="0"/>
    </w:p>
    <w:sectPr w:rsidR="00962F44" w:rsidRPr="00300858" w:rsidSect="00833DFC">
      <w:head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BE" w:rsidRDefault="00443CBE" w:rsidP="00C46AAE">
      <w:r>
        <w:separator/>
      </w:r>
    </w:p>
  </w:endnote>
  <w:endnote w:type="continuationSeparator" w:id="0">
    <w:p w:rsidR="00443CBE" w:rsidRDefault="00443CBE" w:rsidP="00C4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BE" w:rsidRDefault="00443CBE" w:rsidP="00C46AAE">
      <w:r>
        <w:separator/>
      </w:r>
    </w:p>
  </w:footnote>
  <w:footnote w:type="continuationSeparator" w:id="0">
    <w:p w:rsidR="00443CBE" w:rsidRDefault="00443CBE" w:rsidP="00C4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F44" w:rsidRPr="00D63629" w:rsidRDefault="00962F44" w:rsidP="00962F44">
    <w:pPr>
      <w:pStyle w:val="a8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B0C1F"/>
    <w:multiLevelType w:val="hybridMultilevel"/>
    <w:tmpl w:val="45B811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C86"/>
    <w:rsid w:val="00206C86"/>
    <w:rsid w:val="002C392D"/>
    <w:rsid w:val="00300858"/>
    <w:rsid w:val="00443CBE"/>
    <w:rsid w:val="00833DFC"/>
    <w:rsid w:val="00962F44"/>
    <w:rsid w:val="00AC2AAA"/>
    <w:rsid w:val="00B813AD"/>
    <w:rsid w:val="00BD0CC1"/>
    <w:rsid w:val="00C46AAE"/>
    <w:rsid w:val="00D63629"/>
    <w:rsid w:val="00E03861"/>
    <w:rsid w:val="00E4684A"/>
    <w:rsid w:val="00EA6B1C"/>
    <w:rsid w:val="00EC57D8"/>
    <w:rsid w:val="00F31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05B96F-BCA5-4384-8AC6-EDA6B3FA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AE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6AAE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C46AAE"/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sid w:val="00C46AA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rsid w:val="00C46AAE"/>
    <w:rPr>
      <w:rFonts w:cs="Times New Roman"/>
      <w:vertAlign w:val="superscript"/>
    </w:rPr>
  </w:style>
  <w:style w:type="paragraph" w:customStyle="1" w:styleId="a7">
    <w:name w:val="Статьи"/>
    <w:basedOn w:val="a"/>
    <w:rsid w:val="00C46AAE"/>
    <w:pPr>
      <w:spacing w:line="360" w:lineRule="auto"/>
      <w:ind w:firstLine="720"/>
      <w:jc w:val="both"/>
    </w:pPr>
  </w:style>
  <w:style w:type="paragraph" w:styleId="a8">
    <w:name w:val="header"/>
    <w:basedOn w:val="a"/>
    <w:link w:val="a9"/>
    <w:uiPriority w:val="99"/>
    <w:unhideWhenUsed/>
    <w:rsid w:val="00E03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0386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E038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0386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List Paragraph"/>
    <w:basedOn w:val="a"/>
    <w:uiPriority w:val="34"/>
    <w:qFormat/>
    <w:rsid w:val="00E0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2014-03-24T15:15:00Z</dcterms:created>
  <dcterms:modified xsi:type="dcterms:W3CDTF">2014-03-24T15:15:00Z</dcterms:modified>
</cp:coreProperties>
</file>