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B1" w:rsidRDefault="00742DB1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ФЕДЕРАЛИЗМ И ИЗБИРАТЕЛЬНАЯ СИСТЕМА В ГЕРМАНИИ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Федеративная Республика Германия является одной из стран, обладающих уни</w:t>
      </w:r>
      <w:r>
        <w:rPr>
          <w:rFonts w:ascii="Times New Roman" w:hAnsi="Times New Roman" w:cs="Times New Roman"/>
        </w:rPr>
        <w:softHyphen/>
        <w:t>кальным опытом построения демократического, правового, социального федератив</w:t>
      </w:r>
      <w:r>
        <w:rPr>
          <w:rFonts w:ascii="Times New Roman" w:hAnsi="Times New Roman" w:cs="Times New Roman"/>
        </w:rPr>
        <w:softHyphen/>
        <w:t>ного государства." Федерализм, —   отмечает известный немецкий государствовед М.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Боте, — выступает как форма, которая позволяет в границах большого государст</w:t>
      </w:r>
      <w:r>
        <w:rPr>
          <w:rFonts w:ascii="Times New Roman" w:hAnsi="Times New Roman" w:cs="Times New Roman"/>
        </w:rPr>
        <w:softHyphen/>
        <w:t>венного образования сохранять исторически сложившееся многообразие и своеобразие традиций, обычаев и культуры различных групп и слоев населения или наций". Конкретное воплощение идей федерализма, было найдено, в частно</w:t>
      </w:r>
      <w:r>
        <w:rPr>
          <w:rFonts w:ascii="Times New Roman" w:hAnsi="Times New Roman" w:cs="Times New Roman"/>
        </w:rPr>
        <w:softHyphen/>
        <w:t xml:space="preserve">сти, в </w:t>
      </w:r>
      <w:r>
        <w:rPr>
          <w:rFonts w:ascii="Times New Roman" w:hAnsi="Times New Roman" w:cs="Times New Roman"/>
          <w:i/>
          <w:iCs/>
        </w:rPr>
        <w:t>бундесрате</w:t>
      </w:r>
      <w:r>
        <w:rPr>
          <w:rFonts w:ascii="Times New Roman" w:hAnsi="Times New Roman" w:cs="Times New Roman"/>
        </w:rPr>
        <w:t xml:space="preserve"> и соответствующем избирательном законодательстве.</w:t>
      </w:r>
    </w:p>
    <w:p w:rsidR="00742DB1" w:rsidRDefault="00742DB1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Основному закону ФРГ бундесрат является одним из пяти постоянных конституционных органов страны, наряду с федеральным президентом, бундеста</w:t>
      </w:r>
      <w:r>
        <w:rPr>
          <w:rFonts w:ascii="Times New Roman" w:hAnsi="Times New Roman" w:cs="Times New Roman"/>
        </w:rPr>
        <w:softHyphen/>
        <w:t>гом, федеральным правительством и федеральным конституционным судом. В рос</w:t>
      </w:r>
      <w:r>
        <w:rPr>
          <w:rFonts w:ascii="Times New Roman" w:hAnsi="Times New Roman" w:cs="Times New Roman"/>
        </w:rPr>
        <w:softHyphen/>
        <w:t>сийской политологической и государствоведческой литературе его нередко рассматривают в качестве второй палаты единого германского парламента. Конституция ФРГ однозначно определяет, что законы страны принимаются бундестагом, а Бундесрат призван выполнять контрольные функции, играть роль своего рода тормоза в случае принятия скоропалительных законопроектов, оказывать влияние на решения бундестага и федерального правительства. Имея статус органа Федерации и не являясь земельным органом или "земельной палатой" в собственном смысле слова, бундесрат отражает один из основных принципов федерализма — единство в многообразии.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Элементы федеративного устройства Германии были заложены еще в первой федеральной конституции 1871 г., констатировавшей завершение процесса объеди</w:t>
      </w:r>
      <w:r>
        <w:rPr>
          <w:rFonts w:ascii="Times New Roman" w:hAnsi="Times New Roman" w:cs="Times New Roman"/>
        </w:rPr>
        <w:softHyphen/>
        <w:t>нения страны. Этим актом, в частности, предусматривалось создание бундесрата как федералистско-монархического правительственного органа, формирующегося из представителей правительств вошедших в состав объединенной Германии госу</w:t>
      </w:r>
      <w:r>
        <w:rPr>
          <w:rFonts w:ascii="Times New Roman" w:hAnsi="Times New Roman" w:cs="Times New Roman"/>
        </w:rPr>
        <w:softHyphen/>
        <w:t>дарств. Обладая правом абсолютного вето, бундесрат тех лет выполнял функции верхней палаты федерального парламента.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годы Веймарской республики роль федерального органа стал играть рейхсрат. Полномочия этого политического института, по сравнению с прежним бундесратом, были существенно ограничены, в частности, он был лишен права абсолютного вето. С приходом к власти национал-социалистов Германия по сути дела превратилась в жестко централизованное унитарное государство. Традиция федеративного разви</w:t>
      </w:r>
      <w:r>
        <w:rPr>
          <w:rFonts w:ascii="Times New Roman" w:hAnsi="Times New Roman" w:cs="Times New Roman"/>
        </w:rPr>
        <w:softHyphen/>
        <w:t>тия страны оказалась прерванной. Ее восстановление началось лишь после краха нацистского режима.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Начавшаяся в 1946 г. разработка нового Основного закона страны проходила в обстановке ожесточенных споров между поклонниками сенатской модели формиро</w:t>
      </w:r>
      <w:r>
        <w:rPr>
          <w:rFonts w:ascii="Times New Roman" w:hAnsi="Times New Roman" w:cs="Times New Roman"/>
        </w:rPr>
        <w:softHyphen/>
        <w:t>вания федерального органа и сторонниками восстановления традиционных для Гер</w:t>
      </w:r>
      <w:r>
        <w:rPr>
          <w:rFonts w:ascii="Times New Roman" w:hAnsi="Times New Roman" w:cs="Times New Roman"/>
        </w:rPr>
        <w:softHyphen/>
        <w:t>мании форм. В ходе долгих дискуссий был найден компромиссный вариант, предполагающий сохранение тра</w:t>
      </w:r>
      <w:r>
        <w:rPr>
          <w:rFonts w:ascii="Times New Roman" w:hAnsi="Times New Roman" w:cs="Times New Roman"/>
        </w:rPr>
        <w:softHyphen/>
        <w:t>диционных принципов формирования данного федерального органа при существен</w:t>
      </w:r>
      <w:r>
        <w:rPr>
          <w:rFonts w:ascii="Times New Roman" w:hAnsi="Times New Roman" w:cs="Times New Roman"/>
        </w:rPr>
        <w:softHyphen/>
        <w:t>ном сокращении сферы его компетенции. Эта модель, известная как "смягченный вариант бундесрата", и была закреплена Конституцией ФРГ 1949 г.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Основному закону ФРГ, бундесрат состоит из членов земельных прави</w:t>
      </w:r>
      <w:r>
        <w:rPr>
          <w:rFonts w:ascii="Times New Roman" w:hAnsi="Times New Roman" w:cs="Times New Roman"/>
        </w:rPr>
        <w:softHyphen/>
        <w:t>тельств *. Он не является выборным органом и не связан какими-то сроками полно</w:t>
      </w:r>
      <w:r>
        <w:rPr>
          <w:rFonts w:ascii="Times New Roman" w:hAnsi="Times New Roman" w:cs="Times New Roman"/>
        </w:rPr>
        <w:softHyphen/>
        <w:t>мочий. Состав бундесрата ретируется постепенно, по мере выборов в ландтаги (местные представительные органы) земель и формирования земельных правительств. Видимо, по этой причине бундесрат иногда называют "вечным федеральным органом".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Конституционно-правовой статус членов бундесрата во многом отличен от ста</w:t>
      </w:r>
      <w:r>
        <w:rPr>
          <w:rFonts w:ascii="Times New Roman" w:hAnsi="Times New Roman" w:cs="Times New Roman"/>
        </w:rPr>
        <w:softHyphen/>
        <w:t>туса депутатов бундестага, т.е. собственно парламента. Постоянные члены бундес</w:t>
      </w:r>
      <w:r>
        <w:rPr>
          <w:rFonts w:ascii="Times New Roman" w:hAnsi="Times New Roman" w:cs="Times New Roman"/>
        </w:rPr>
        <w:softHyphen/>
        <w:t>рата 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их заместители подчинены своему земельному правительству и при голосовании обязаны отражать его точку зрения. Члены бундесрата не обладают парламентской неприкосновенностью и лишены значительной части льгот, предо</w:t>
      </w:r>
      <w:r>
        <w:rPr>
          <w:rFonts w:ascii="Times New Roman" w:hAnsi="Times New Roman" w:cs="Times New Roman"/>
        </w:rPr>
        <w:softHyphen/>
        <w:t>ставляемых депутатам бундестага.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бундесрата протекает главным образом в комитетах, которых в настоящее 1ремя насчитывается семнадцать. Сфера полномочий таких комитетов в основном соответствует разделению функций между министерствами и ведомствами. В каж</w:t>
      </w:r>
      <w:r>
        <w:rPr>
          <w:rFonts w:ascii="Times New Roman" w:hAnsi="Times New Roman" w:cs="Times New Roman"/>
        </w:rPr>
        <w:softHyphen/>
        <w:t>дом из комитетов земли имеют по одному голосу, направляя туда по одному члену бундесрата, как правило, тех, чья деятельность в земельном правительстве соответ</w:t>
      </w:r>
      <w:r>
        <w:rPr>
          <w:rFonts w:ascii="Times New Roman" w:hAnsi="Times New Roman" w:cs="Times New Roman"/>
        </w:rPr>
        <w:softHyphen/>
        <w:t>ствует профилю того или иного комитета.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Правовой статус включения бундесрата в законодательный процесс Федерации закреплен в статьях 50, 77 и ряде других статей Основного закона ФРГ. Согласно Конституции, бундесрату, совместно с бундестагом, предоставлено право избирать членов федерального Конституционного суда. Генеральный прокурор ФРГ может назначаться лишь с согласия бундесрата. В случае, если федеральный президент не в состоянии исполнять свои обязанности, их берет на себя президент бундесрата. На рассмотрение бундесрата передаются все законопроекты, принятые бундестагом. Те из них, которые затрагивают компетенцию земель (примерно каждый второй законопроект, в т.ч. законодательные акты по бюджетным и налоговым вопросам, по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вопросам территории и границ земель, структуры и организации земельных властей, образования и культуры), должны получить одобрение этого органа.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Бундесрат обладает серьезными правами и в области управления Федерацией. Так, в частности, он имеет возможность до определенной степени контролировать правительство. Последнее, согласно ст.53 Конституции ФРГ, обязано информиро</w:t>
      </w:r>
      <w:r>
        <w:rPr>
          <w:rFonts w:ascii="Times New Roman" w:hAnsi="Times New Roman" w:cs="Times New Roman"/>
        </w:rPr>
        <w:softHyphen/>
        <w:t>вать бундесрат о своих текущих делах, включая вопросы социально-экономического положения страны, обороны и внешней политики.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Федеративное государственное устройство, по модели ФРГ, предполагает, что при выполнении своих функциональных задач центр и федерированные единицы взаимно контролируют и дополняют друг друга. В этом взаимозависимом процессе бундесрату отведена роль противовеса (своего рода контрвласти) по отношению к бундестагу и федеральному правительству и одновременно связующего звена между Федерацией и землями. Осуществление этих функций идет по следующим основным направлениям: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через бундесрат земли напрямую представляют свои интересы перед Фе</w:t>
      </w:r>
      <w:r>
        <w:rPr>
          <w:rFonts w:ascii="Times New Roman" w:hAnsi="Times New Roman" w:cs="Times New Roman"/>
        </w:rPr>
        <w:softHyphen/>
        <w:t>дерацией;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посредством бундесрата земли участвуют в законодательном процессе Федера</w:t>
      </w:r>
      <w:r>
        <w:rPr>
          <w:rFonts w:ascii="Times New Roman" w:hAnsi="Times New Roman" w:cs="Times New Roman"/>
        </w:rPr>
        <w:softHyphen/>
        <w:t>ции в целом, компенсируя тем самым ограниченность собственных компетенции;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бундесрат обеспечивает землям трибуну для обмена политическим и управлен</w:t>
      </w:r>
      <w:r>
        <w:rPr>
          <w:rFonts w:ascii="Times New Roman" w:hAnsi="Times New Roman" w:cs="Times New Roman"/>
        </w:rPr>
        <w:softHyphen/>
        <w:t>ческим опытом;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участвуя в работе бундесрата, земельные политики берут на себя обязательства в качестве федеральных политиков и тем самым несут ответственность за дела всего государства.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Особое место среди политических институтов, обеспечивающих успешное функ</w:t>
      </w:r>
      <w:r>
        <w:rPr>
          <w:rFonts w:ascii="Times New Roman" w:hAnsi="Times New Roman" w:cs="Times New Roman"/>
        </w:rPr>
        <w:softHyphen/>
        <w:t xml:space="preserve">ционирование германской федеративной системы, занимает т.н. </w:t>
      </w:r>
      <w:r>
        <w:rPr>
          <w:rFonts w:ascii="Times New Roman" w:hAnsi="Times New Roman" w:cs="Times New Roman"/>
          <w:i/>
          <w:iCs/>
        </w:rPr>
        <w:t>согласительный комитет,</w:t>
      </w:r>
      <w:r>
        <w:rPr>
          <w:rFonts w:ascii="Times New Roman" w:hAnsi="Times New Roman" w:cs="Times New Roman"/>
        </w:rPr>
        <w:t xml:space="preserve"> созываемый по инициативе бундесрата, бундестага либо правительства страны для урегулирования противоречий между этими тремя конституционными органами. Состав комитета формируется за счет членов, делегируемых бундестагом и бундесратом (по 16 от каждой стороны). Примечательно, что во время работы в согласительном комитете члены бундестага и бундесрата не обязаны выполнять указания делегировавших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их органов (члены бундесрата освобождаются также от обязанности подчиняться решениям своих земельных правительств), выступая в качестве независимых политиков.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Согласительные комитеты - относительно новый инструментарий германского законодательства и потому они нередко подвергаются критике. Их, в частности, обвиняют в том, что они пытаются играть роль "третьей ветви" высшей законода</w:t>
      </w:r>
      <w:r>
        <w:rPr>
          <w:rFonts w:ascii="Times New Roman" w:hAnsi="Times New Roman" w:cs="Times New Roman"/>
        </w:rPr>
        <w:softHyphen/>
        <w:t>тельной системы и, игнорируя волю компетентного парламентского большинства, выступать в качестве некоего "надпарламентского образования".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1951 г. Федеральное правительство заложило в свой регламент положение о ежегодных совещаниях канцлера с главами земельных правительств для обсуждения важнейших политических, экономических, социальных и финансовых вопросов Федераций и земель.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других институтов “федерализма сотрудничества” можно назвать конференции президентов земельных парламентов, совещания премьер-министров различных земель, а также институтов земельных представительств в Бонне.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важным элементам германского федеративного устройства относится и избирательная система страны, через которую проводятся интересы как Федераций в целом, так и конкретных земель. Конституцией ФРГ установлено, что выборы во все народные представительства являются общими, прямыми, свободными , равными и тайными. Выборы в бундестаг производятся на основе одного из вариантов  пропорциональной системы – т.н. персонализованного пропорционального представительства, отражающего федеративный принцип построения государства: границы избирательных округов для голосования по партийным спискам соответствуют границам федеральных земель, что обеспечивает региональное представительство не только в бундесрате, но и в парламенте. Все остальные аспекты избирательной системы определяются землями и Федерацией самостоятельно, на основе соответствующих законов.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Существенные различия наблюдаются и в структуре, функциях и полномочиях органов, участвующих в законодательном процессе на уровне отдельных земель. Особенно показателен в этом отношении пример Баварии. Бавария является единственной землей, парламент которой состоит из двух частей: ландтага и сената, представляющего социальные, экономические и культурные соединения.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Важное место в избирательной системе ФРГ отведено т.н. "пятипроцентной ого</w:t>
      </w:r>
      <w:r>
        <w:rPr>
          <w:rFonts w:ascii="Times New Roman" w:hAnsi="Times New Roman" w:cs="Times New Roman"/>
        </w:rPr>
        <w:softHyphen/>
        <w:t>ворке", согласно которой представительство в бундестаге, ландтагах и других выбор</w:t>
      </w:r>
      <w:r>
        <w:rPr>
          <w:rFonts w:ascii="Times New Roman" w:hAnsi="Times New Roman" w:cs="Times New Roman"/>
        </w:rPr>
        <w:softHyphen/>
        <w:t>ных органах получают только те партии, которые набрали на выборах не менее 5% голосов избирателей. Но и этот порог вряд ли можно считать обязательным для всех земель и всех типов выборов.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последние годы в ФРГ наблюдается все большее усиление земельного начала в политической жизни страны. Считается, что данный процесс, получивший в полит</w:t>
      </w:r>
      <w:r>
        <w:rPr>
          <w:rFonts w:ascii="Times New Roman" w:hAnsi="Times New Roman" w:cs="Times New Roman"/>
        </w:rPr>
        <w:softHyphen/>
        <w:t>ологической литературе название процесса рефедерализации объединенной Герма</w:t>
      </w:r>
      <w:r>
        <w:rPr>
          <w:rFonts w:ascii="Times New Roman" w:hAnsi="Times New Roman" w:cs="Times New Roman"/>
        </w:rPr>
        <w:softHyphen/>
        <w:t>нии, был инициирован в декабре 1990 г. принятием т.н. "Мюнхенского заявления". В этом документе, подписанном премьер-министрами 16 федеральных земель, под</w:t>
      </w:r>
      <w:r>
        <w:rPr>
          <w:rFonts w:ascii="Times New Roman" w:hAnsi="Times New Roman" w:cs="Times New Roman"/>
        </w:rPr>
        <w:softHyphen/>
        <w:t>черкивалось значение федерализма для дальнейшего развития Германии и Европы и отмечалось, что для разрешения проблем новых земель и преодоления сложностей, вызванных объединением государства, на немецкий федерализм возлагается обязан</w:t>
      </w:r>
      <w:r>
        <w:rPr>
          <w:rFonts w:ascii="Times New Roman" w:hAnsi="Times New Roman" w:cs="Times New Roman"/>
        </w:rPr>
        <w:softHyphen/>
        <w:t>ность "показать себя с лучшей стороны" (2, с. 69).</w:t>
      </w:r>
    </w:p>
    <w:p w:rsidR="00742DB1" w:rsidRDefault="00742DB1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федеративное государство и его институты, считают немецкие политики и ученые, в состоянии нейтрализовать негативные последствия прихода к власти на уровне Федерации или в конкретной земле радикальной партии любой окраски, не дать им принять разрушительные формы. Попытки такого рода партии провести соответствующие ее политическим установкам "преобразования" в рамках всей страны могут быть остановлены и скорректированы таким федеральным конститу</w:t>
      </w:r>
      <w:r>
        <w:rPr>
          <w:rFonts w:ascii="Times New Roman" w:hAnsi="Times New Roman" w:cs="Times New Roman"/>
        </w:rPr>
        <w:softHyphen/>
        <w:t>ционным органом, как бундесрат. Земельные правительства на основе своих консти</w:t>
      </w:r>
      <w:r>
        <w:rPr>
          <w:rFonts w:ascii="Times New Roman" w:hAnsi="Times New Roman" w:cs="Times New Roman"/>
        </w:rPr>
        <w:softHyphen/>
        <w:t>туций также располагают действенными правовыми рычагами, позволяющими предотвратить радикализацию политики отдельных земель.</w:t>
      </w:r>
    </w:p>
    <w:p w:rsidR="00742DB1" w:rsidRDefault="00742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федерализма в ФРГ показывает, что вопросы распределения политической власти, взаимоотношений между Федерацией и землями, снятия противоречий меж</w:t>
      </w:r>
      <w:r>
        <w:rPr>
          <w:rFonts w:ascii="Times New Roman" w:hAnsi="Times New Roman" w:cs="Times New Roman"/>
        </w:rPr>
        <w:softHyphen/>
        <w:t>ду различными государственными институтами могут решаться исключительно кон</w:t>
      </w:r>
      <w:r>
        <w:rPr>
          <w:rFonts w:ascii="Times New Roman" w:hAnsi="Times New Roman" w:cs="Times New Roman"/>
        </w:rPr>
        <w:softHyphen/>
        <w:t>ституционно-правовыми методами урегулирования. Эффективное взаимодействие федерации и земель обеспечивает целостность страны и стабильность в обществе, оберегает конституционно-демократический строй от рецидивов тоталитарного прошлого с его жесткой унитарностью, гарантирует избирателю на федеральном, земельном и коммунальном уровнях право на активное участие в процессе принятия государственных решений на благо отдельного гражданина и всего общества.</w:t>
      </w:r>
      <w:bookmarkStart w:id="0" w:name="_GoBack"/>
      <w:bookmarkEnd w:id="0"/>
    </w:p>
    <w:sectPr w:rsidR="00742DB1">
      <w:headerReference w:type="default" r:id="rId6"/>
      <w:pgSz w:w="11900" w:h="16820" w:code="9"/>
      <w:pgMar w:top="1134" w:right="1134" w:bottom="1134" w:left="1134" w:header="1134" w:footer="113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B1" w:rsidRDefault="00742DB1">
      <w:r>
        <w:separator/>
      </w:r>
    </w:p>
  </w:endnote>
  <w:endnote w:type="continuationSeparator" w:id="0">
    <w:p w:rsidR="00742DB1" w:rsidRDefault="0074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B1" w:rsidRDefault="00742DB1">
      <w:r>
        <w:separator/>
      </w:r>
    </w:p>
  </w:footnote>
  <w:footnote w:type="continuationSeparator" w:id="0">
    <w:p w:rsidR="00742DB1" w:rsidRDefault="0074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487"/>
      <w:gridCol w:w="3361"/>
    </w:tblGrid>
    <w:tr w:rsidR="00742DB1" w:rsidRPr="00742DB1">
      <w:tc>
        <w:tcPr>
          <w:tcW w:w="6487" w:type="dxa"/>
          <w:tcBorders>
            <w:bottom w:val="nil"/>
            <w:right w:val="nil"/>
          </w:tcBorders>
        </w:tcPr>
        <w:p w:rsidR="00742DB1" w:rsidRPr="00742DB1" w:rsidRDefault="00742DB1">
          <w:pPr>
            <w:pStyle w:val="FR1"/>
          </w:pPr>
          <w:r w:rsidRPr="00742DB1">
            <w:rPr>
              <w:rFonts w:ascii="Tahoma" w:hAnsi="Tahoma" w:cs="Tahoma"/>
              <w:sz w:val="20"/>
              <w:szCs w:val="20"/>
            </w:rPr>
            <w:t>ФЕДЕРАЛИЗМ И ИЗБИРАТЕЛЬНАЯ СИСТЕМА В ГЕРМАНИИ</w:t>
          </w:r>
        </w:p>
      </w:tc>
      <w:tc>
        <w:tcPr>
          <w:tcW w:w="3361" w:type="dxa"/>
          <w:tcBorders>
            <w:top w:val="nil"/>
            <w:left w:val="nil"/>
          </w:tcBorders>
        </w:tcPr>
        <w:p w:rsidR="00742DB1" w:rsidRPr="00742DB1" w:rsidRDefault="00742DB1">
          <w:pPr>
            <w:pStyle w:val="a3"/>
            <w:ind w:firstLine="0"/>
            <w:jc w:val="right"/>
            <w:rPr>
              <w:sz w:val="20"/>
              <w:szCs w:val="20"/>
            </w:rPr>
          </w:pPr>
          <w:r w:rsidRPr="00742DB1">
            <w:rPr>
              <w:sz w:val="20"/>
              <w:szCs w:val="20"/>
            </w:rPr>
            <w:t xml:space="preserve"> Страница </w:t>
          </w:r>
          <w:r w:rsidR="000C4867" w:rsidRPr="00742DB1">
            <w:rPr>
              <w:rStyle w:val="a7"/>
              <w:noProof/>
              <w:sz w:val="20"/>
              <w:szCs w:val="20"/>
            </w:rPr>
            <w:t>1</w:t>
          </w:r>
          <w:r w:rsidRPr="00742DB1">
            <w:rPr>
              <w:rStyle w:val="a7"/>
              <w:sz w:val="20"/>
              <w:szCs w:val="20"/>
            </w:rPr>
            <w:t xml:space="preserve"> из </w:t>
          </w:r>
          <w:r w:rsidR="000C4867" w:rsidRPr="00742DB1">
            <w:rPr>
              <w:rStyle w:val="a7"/>
              <w:noProof/>
              <w:sz w:val="20"/>
              <w:szCs w:val="20"/>
            </w:rPr>
            <w:t>4</w:t>
          </w:r>
        </w:p>
      </w:tc>
    </w:tr>
  </w:tbl>
  <w:p w:rsidR="00742DB1" w:rsidRDefault="00742D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867"/>
    <w:rsid w:val="000107E6"/>
    <w:rsid w:val="000C4867"/>
    <w:rsid w:val="00742DB1"/>
    <w:rsid w:val="0083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7CAAEB-F7F0-4474-9E14-8FCA278F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567"/>
      <w:jc w:val="both"/>
    </w:pPr>
    <w:rPr>
      <w:rFonts w:ascii="Tahoma" w:hAnsi="Tahoma"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uiPriority w:val="99"/>
    <w:pPr>
      <w:widowControl w:val="0"/>
      <w:spacing w:line="260" w:lineRule="auto"/>
    </w:pPr>
    <w:rPr>
      <w:rFonts w:ascii="Arial" w:hAnsi="Arial" w:cs="Arial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pPr>
      <w:ind w:firstLine="284"/>
    </w:pPr>
  </w:style>
  <w:style w:type="character" w:customStyle="1" w:styleId="20">
    <w:name w:val="Основной текст 2 Знак"/>
    <w:link w:val="2"/>
    <w:uiPriority w:val="99"/>
    <w:semiHidden/>
    <w:rPr>
      <w:rFonts w:ascii="Tahoma" w:hAnsi="Tahoma" w:cs="Tahoma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40" w:firstLine="180"/>
    </w:pPr>
  </w:style>
  <w:style w:type="character" w:customStyle="1" w:styleId="22">
    <w:name w:val="Основной текст с отступом 2 Знак"/>
    <w:link w:val="21"/>
    <w:uiPriority w:val="99"/>
    <w:semiHidden/>
    <w:rPr>
      <w:rFonts w:ascii="Tahoma" w:hAnsi="Tahoma" w:cs="Tahoma"/>
      <w:sz w:val="24"/>
      <w:szCs w:val="24"/>
    </w:rPr>
  </w:style>
  <w:style w:type="paragraph" w:styleId="3">
    <w:name w:val="Body Text Indent 3"/>
    <w:basedOn w:val="a"/>
    <w:link w:val="30"/>
    <w:uiPriority w:val="99"/>
  </w:style>
  <w:style w:type="character" w:customStyle="1" w:styleId="30">
    <w:name w:val="Основной текст с отступом 3 Знак"/>
    <w:link w:val="3"/>
    <w:uiPriority w:val="99"/>
    <w:semiHidden/>
    <w:rPr>
      <w:rFonts w:ascii="Tahoma" w:hAnsi="Tahoma" w:cs="Tahoma"/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ahoma" w:hAnsi="Tahoma" w:cs="Tahoma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ahoma" w:hAnsi="Tahoma" w:cs="Tahoma"/>
      <w:sz w:val="24"/>
      <w:szCs w:val="24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7321</Words>
  <Characters>4173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ФЕДЕРАЛИЗМ И ИЗБИРАТЕЛЬНАЯ СИСТЕМА В ГЕРМАНИИ</vt:lpstr>
    </vt:vector>
  </TitlesOfParts>
  <Company>The dome</Company>
  <LinksUpToDate>false</LinksUpToDate>
  <CharactersWithSpaces>11472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ФЕДЕРАЛИЗМ И ИЗБИРАТЕЛЬНАЯ СИСТЕМА В ГЕРМАНИИ</dc:title>
  <dc:subject/>
  <dc:creator>PublicDomain</dc:creator>
  <cp:keywords/>
  <dc:description/>
  <cp:lastModifiedBy>admin</cp:lastModifiedBy>
  <cp:revision>2</cp:revision>
  <cp:lastPrinted>2000-09-27T16:32:00Z</cp:lastPrinted>
  <dcterms:created xsi:type="dcterms:W3CDTF">2014-01-27T19:26:00Z</dcterms:created>
  <dcterms:modified xsi:type="dcterms:W3CDTF">2014-01-27T19:26:00Z</dcterms:modified>
</cp:coreProperties>
</file>