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BD" w:rsidRPr="00AF568F" w:rsidRDefault="00693EBD" w:rsidP="00693EBD">
      <w:pPr>
        <w:spacing w:before="120"/>
        <w:jc w:val="center"/>
        <w:rPr>
          <w:b/>
          <w:bCs/>
          <w:sz w:val="32"/>
          <w:szCs w:val="32"/>
        </w:rPr>
      </w:pPr>
      <w:r w:rsidRPr="00AF568F">
        <w:rPr>
          <w:b/>
          <w:bCs/>
          <w:sz w:val="32"/>
          <w:szCs w:val="32"/>
        </w:rPr>
        <w:t>К вопросу о судьбах древнерусских языческих традиций в XI в.</w:t>
      </w:r>
    </w:p>
    <w:p w:rsidR="00693EBD" w:rsidRPr="00AF568F" w:rsidRDefault="00693EBD" w:rsidP="00693EBD">
      <w:pPr>
        <w:spacing w:before="120"/>
        <w:ind w:firstLine="567"/>
        <w:jc w:val="both"/>
        <w:rPr>
          <w:sz w:val="28"/>
          <w:szCs w:val="28"/>
        </w:rPr>
      </w:pPr>
      <w:r w:rsidRPr="00AF568F">
        <w:rPr>
          <w:sz w:val="28"/>
          <w:szCs w:val="28"/>
        </w:rPr>
        <w:t>П.А. Евдокимов, А.С. Щавелев, МГУ им. М.В. Ломоносова. Исторический факультет.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>Известия “начальной” русской летописи (ПВЛ) наряду с данными археологии всегда служили ключевыми звеньями для реконструкции комплекса архаических верований древней Руси. Однако в науке долгое время сохраняется тенденция автоматически собирать воедино сведения, получаемые из источников различного характера, с целью сформировать некий синтетический образ “древнерусского язычества” как определенной системы мировоззрения. Нам же представляется оправданным обратить внимание на динамику развития языческих представлений, следы которой также можно обнаружить в источниках.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>В первый набор летописных упоминаний о языческой практике восточных славян и Руси входят известия “этнографического введения”, предсказания волхвов о смерти Олега, препирательство князя Святослава с матерью Ольгой, т. н. “языческая реформа” князя Владимира Святославича, жертвоприношение христиан-варягов в Киеве [1, с. 14-16, 29-30, 45-46, 56-58, 60]. Эта череда завершается крещением Руси 988 г. [1, с. 80-81]. В целом указанная информация летописи позволяет общо описать основные черты языческого культа: очевидно. Существовал некий “микроуровень” бытовой магии и семейно-родового культа, на котором язычник не нуждался в посреднике между ним и сверхъестественным миром, в то время как конкретные проблемы всего языческого коллектива решались “старой чадью”, т. е. племенной элитой, венчал эту сакральную пирамиду князь, решавший своего рода “макропроблемы”.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>Второй корпус известий о язычестве принадлежит уже XI веку. Теперь главную роль в религиозно-магических обрядах играют волхвы – известия 1024, 1044, 1071, 1091, 1092). До этого они появлялись лишь в связи с известиями о смерти князя Олега. Во всех случаях, когда происхождение волхвов более или менее известно, они соотносятся с иноэтничным (“чудин”-целитель, волхвы на Белоозере под 1071 г.), либо внезапным появлением откуда-то (известия 912, 1071, 1024, 1091 г.). Их действия, как правило, угрожающе противопоставлены князю и “старой чади”, то есть лицам, заправлявшим когда-то языческим культом. В целом, возможно, действия волхвов в тех конкретных случаях дополняли и вносили определенные изменения в прежнюю языческую традицию, а не вписываются в нее напрямую. Отсутствие упоминаний о волхвах в большинстве известий о язычестве IX-X вв., говорит о том, что, при несомненном их, волхвов, существовании в то время, их статус и функции лишь в XI в. видоизменились и перешли от маргинальных к ведущим.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>Нам видится одно возможное объяснение этих изменений: выпадение после принятия христианства князей и элиты из системы отношений populus–rex sacrorum. А особая агрессия против знатных жен была вызвана, видимо, феминистическим, по В.Я. Петрухину, характером первого этапа христианизации.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>Итак, волхвы в экстремальной для языческих общин ситуации заняли вакуум лидерства в сакральной системе язычников. Какую же роль они играли до этого? Видимо, они, по представлениям язычников, используя свое особое “ведение” практиковали магические обряды, связанные с хтоническим миром. Это видно на примере магически-боевого поединка воеводы Яна Вышатича и двух волхвов под 1071 г. Боги волхвов “сидя въ бездне”, Ян вкладывает им в уста “рубль” (кляп?, железный брусок?, “обол Харона”?), везет их по реке (очищение водой?, реликты погребения в ладье?), вешает трупы на дубе (принесение в жертву через повешение?, погребение на дереве?), затем их забирает медведь, животное, для язычников священное, возможно связанное с культом Велеса. Сам Ян не лично расправляется волхвами, а отдает их во руки кровных врагов (боязнь проклятия и мести со стороны “залежных покойников”).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>Подобного рода эволюционные явления наблюдаются и на археологическом материале. С начала XI в. погребальный обряд в ряде областей восточнославянского мира изменяется погребальный обряд, появляется новый типично языческий по своему существу обряд трупоположения на горизонте, на освященной огнем земле [3, c. 21-31]. Одним из объяснений смены обрядов может быть резкая смена сакральной элиты, когда на освободившееся после христианизации верхов место пришла новая, скорее всего, инородная по происхождению. Угро-финское и балтское влияние при этом наиболее вероятно, кстати, в известии летописи за 1092 г. есть эхо описания погребального обряда именно последних.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>Последний раз волхвы появляются во время голода1227/8 г. в Новгороде, но на сей раз новгородцы сами уничтожают чужаков, уповая на своего архиепископа Арсения [2, c. 270].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 xml:space="preserve">Вышеперечисленные отдельные факты и наблюдения позволяют говорить о XI веке как об особом периоде в развитии древнерусского язычества, позднее перешедшего в латентное состояние. </w:t>
      </w:r>
    </w:p>
    <w:p w:rsidR="00693EBD" w:rsidRPr="00AF568F" w:rsidRDefault="00693EBD" w:rsidP="00693EBD">
      <w:pPr>
        <w:spacing w:before="120"/>
        <w:jc w:val="center"/>
        <w:rPr>
          <w:b/>
          <w:bCs/>
          <w:sz w:val="28"/>
          <w:szCs w:val="28"/>
        </w:rPr>
      </w:pPr>
      <w:r w:rsidRPr="00AF568F">
        <w:rPr>
          <w:b/>
          <w:bCs/>
          <w:sz w:val="28"/>
          <w:szCs w:val="28"/>
        </w:rPr>
        <w:t>Список литературы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 xml:space="preserve">Повесть временных лет. М.-Л. 1950. 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 xml:space="preserve">Новгородская первая летопись младшего извода. М.-Л. 1950. </w:t>
      </w:r>
    </w:p>
    <w:p w:rsidR="00693EBD" w:rsidRPr="00B90426" w:rsidRDefault="00693EBD" w:rsidP="00693EBD">
      <w:pPr>
        <w:spacing w:before="120"/>
        <w:ind w:firstLine="567"/>
        <w:jc w:val="both"/>
      </w:pPr>
      <w:r w:rsidRPr="00B90426">
        <w:t>Рябинин Е.А. От язычества к двоеверию (по археологическим материалам Древней Руси). //Православие в Древней Руси. Л. 1989.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EBD"/>
    <w:rsid w:val="00002B5A"/>
    <w:rsid w:val="0010437E"/>
    <w:rsid w:val="00316F32"/>
    <w:rsid w:val="0057566B"/>
    <w:rsid w:val="00616072"/>
    <w:rsid w:val="0066477E"/>
    <w:rsid w:val="00693EBD"/>
    <w:rsid w:val="006A5004"/>
    <w:rsid w:val="00710178"/>
    <w:rsid w:val="008151EF"/>
    <w:rsid w:val="0081563E"/>
    <w:rsid w:val="008B35EE"/>
    <w:rsid w:val="00905CC1"/>
    <w:rsid w:val="00AF568F"/>
    <w:rsid w:val="00B42C45"/>
    <w:rsid w:val="00B47B6A"/>
    <w:rsid w:val="00B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CD26BC-D998-4C7B-9C74-5C1BB63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93EBD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судьбах древнерусских языческих традиций в XI в</vt:lpstr>
    </vt:vector>
  </TitlesOfParts>
  <Company>Home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судьбах древнерусских языческих традиций в XI в</dc:title>
  <dc:subject/>
  <dc:creator>User</dc:creator>
  <cp:keywords/>
  <dc:description/>
  <cp:lastModifiedBy>admin</cp:lastModifiedBy>
  <cp:revision>2</cp:revision>
  <dcterms:created xsi:type="dcterms:W3CDTF">2014-02-14T17:34:00Z</dcterms:created>
  <dcterms:modified xsi:type="dcterms:W3CDTF">2014-02-14T17:34:00Z</dcterms:modified>
</cp:coreProperties>
</file>