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9" w:rsidRPr="00E222A2" w:rsidRDefault="00342FF9" w:rsidP="00342FF9">
      <w:pPr>
        <w:spacing w:before="120"/>
        <w:jc w:val="center"/>
        <w:rPr>
          <w:b/>
          <w:bCs/>
          <w:sz w:val="32"/>
          <w:szCs w:val="32"/>
        </w:rPr>
      </w:pPr>
      <w:r w:rsidRPr="00E222A2">
        <w:rPr>
          <w:b/>
          <w:bCs/>
          <w:sz w:val="32"/>
          <w:szCs w:val="32"/>
        </w:rPr>
        <w:t>К вопросу об использовании компьютерного тестирования в обучении высшей математике</w:t>
      </w:r>
    </w:p>
    <w:p w:rsidR="00342FF9" w:rsidRPr="00E222A2" w:rsidRDefault="00342FF9" w:rsidP="00342FF9">
      <w:pPr>
        <w:spacing w:before="120"/>
        <w:jc w:val="center"/>
        <w:rPr>
          <w:sz w:val="28"/>
          <w:szCs w:val="28"/>
        </w:rPr>
      </w:pPr>
      <w:r w:rsidRPr="00E222A2">
        <w:rPr>
          <w:sz w:val="28"/>
          <w:szCs w:val="28"/>
        </w:rPr>
        <w:t>Е.М. Ахметханова</w:t>
      </w:r>
    </w:p>
    <w:p w:rsidR="00342FF9" w:rsidRPr="00E222A2" w:rsidRDefault="00342FF9" w:rsidP="00342FF9">
      <w:pPr>
        <w:spacing w:before="120"/>
        <w:jc w:val="center"/>
        <w:rPr>
          <w:sz w:val="28"/>
          <w:szCs w:val="28"/>
        </w:rPr>
      </w:pPr>
      <w:r w:rsidRPr="00E222A2">
        <w:rPr>
          <w:sz w:val="28"/>
          <w:szCs w:val="28"/>
        </w:rPr>
        <w:t>Кафедра высшей математики</w:t>
      </w:r>
    </w:p>
    <w:p w:rsidR="00342FF9" w:rsidRPr="00E222A2" w:rsidRDefault="00342FF9" w:rsidP="00342FF9">
      <w:pPr>
        <w:spacing w:before="120"/>
        <w:jc w:val="center"/>
        <w:rPr>
          <w:sz w:val="28"/>
          <w:szCs w:val="28"/>
        </w:rPr>
      </w:pPr>
      <w:r w:rsidRPr="00E222A2">
        <w:rPr>
          <w:sz w:val="28"/>
          <w:szCs w:val="28"/>
        </w:rPr>
        <w:t xml:space="preserve">Альметьевский государственный институт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Процесс обучения высшей математике определяется целью приобретения учащимися определенного объема знаний, формирования умений использовать математические методы для решения прикладных задач, развития математической интуиции и воспитания математической культуры. Необходимым элементом учебного процесса наряду с сообщаемой информацией является контроль знаний учащихся.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Постепенный переход от традиционных форм контроля и оценивания знаний к компьютерному тестированию отвечает духу времени и общей концепции модернизации и компьютеризации российской системы образования. Эффективность такой методики во многом зависит, прежде всего, от специфики самой учебной дисциплины и целей обучения; от качества используемых программных продуктов и уместности их использования для конкретных учебных целей; а также от форм представления учебной информации (в частности от уровня ее визуализации).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 общем и целом, по сравнению с традиционными формами контроля компьютерное тестирование (КТ) имеет ряд преимуществ [Аванесов В.С., 1998; Аванесов В.С., 1994; И.Х. Галеев и др., 2003]: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быстрое получение результатов испытания и освобождение преподавателя от трудоемкой работы по обработке результатов тестирования;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объективность в оценке;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конфиденциальность при анонимном тестировании;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тестирование на компьютере более интересно по сравнению с традиционными формами опроса, что создает положительную мотивацию у студентов.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Поэтому представляется актуальной практика разработки разнообразных программных средств для подготовки и организации тестирования с использованием компьютера.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Говоря об объективности в оценке, следует отметить те общие для любого процесса автоматизированного контроля факторы, которые по нашему мнению способствуют более объективному (не зависящему от субъективных установок преподавателей) подходу к процедуре оценивания: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одинаковые инструкции для всех испытуемых;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одинаковая система оценки результатов тестирования;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автоматизированный подсчет баллов испытуемых.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Специфика высшей математики как учебной дисциплины, а также специфика методов преподавания и оценивания результатов обучения накладывают ряд ограничений на использование компьютерного тестового контроля. В основном, это ограничения связанные с трудностями ввода и вывода символьной информации.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Начальный этап организации КТ заключается в разработке методики проведения компьютерного тестирования и предполагает большую методическую работу, заключающуюся, главным образом, в формировании содержания тестовых заданий, в распределении их по типам и уровню сложности, а также в создании программного варианта теста. Содержание и постановка вопросов должны обеспечивать валидность и надежность тестовых заданий и всего теста в целом. Кроме того, необходимо учитывать возможности программной оболочки, которая позволяет решить поставленную задачу лишь в определенной мере.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На кафедре высшей математики АГНИ были разработаны 5 тематических тестов, на основе которых осуществляется промежуточный контроль по всем темам третьего семестра и одной из тем четвертого семестра курса высшей математики (экономисты).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Специфика дисциплины потребовала формирования теоретических вопросов и практических заданий в тестовые задания четырех основных типов: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Тип А (закрытый однозначный) – это тип тестовых заданий с выбором единственно правильного ответа из нескольких предложенных вариантов.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Тип B (открытый однозначный) – это тип тестовых заданий с вводом единственного правильного ответа.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Тип С (закрытый многозначный) – тип тестовых заданий с множественным выбором ответов. В этом случае в отличие от заданий типа А, предлагается выбрать все правильные ответы из нескольких данных. При этом не исключено, что правильный ответ может быть единственным.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Тип D (вопрос на соответствие) – тип тестовых вопросов с подбором пар соответствия, сопоставления или противопоставления элементов двух представленных множеств.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Предложенная отделом информатизации и технических средств обучения КГТУ (г. Казань) тестирующая программная оболочка, позволяет [И.Х. Галеев и др., 2003]: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создавать тесты различного типа и содержания;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использовать при создании тестов возможности представления символьной и графической информации;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проводить тестирование на современном уровне, с соблюдением конфиденциальности и в привлекательной форме;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устанавливать жесткий временной контроль над тестированием;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производить обновление тестовых заданий;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обрабатывать результаты тестирования автоматически.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Таким образом, с помощью компьютера преподаватель может достаточно быстро построить систему контрольных или тестовых заданий. При этом значительно облегчается процесс обработки результатов и выставления оценок.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Выполнение каждого теста начинается с «заставки», на которой представлена информация о теме теста и конкретных вопросах программы подлежащих проверке. По ходу выполнения теста на экран выводится информация о том, сколько вопросов содержит тест, и какое по счету задание выполняется. По окончании выполнения теста для испытуемого выводится результат тестирования; для преподавателя формируется файл данных (протокол), в котором фиксируется информация о количестве и номерах правильных и неправильных ответов на вопросы, процентной доли знаний и времени тестирования (Рис.1).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246pt">
            <v:imagedata r:id="rId4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1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Возможности программной оболочки позволяют создавать экранные формы с включением в них, наряду с формулами и графиками, различных графических объектов (рисунков, объектов WordArt и т.д.), что значительно повышает визуальный эффект и соответственно интерес студентов к тестированию.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Несмотря на большой перечень возможностей и преимуществ данной оболочки, при проектировании методики использования этого программного продукта в учебном процессе, необходимо учесть и ряд его недостатков, таких как: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недостаточно разработанная система защиты тестирующей программы;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невозможность использования банка заданий и, как следствие, невозможность создания многовариантных тестовых заданий.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Последнее обстоятельство представляется нам достаточно существенным недостатком в процессе оценивания знаний по высшей математике. Поэтому использовать данную разработку в качестве эффективного средства текущего и итогового контроля не представляется возможным. Но, в то же время, процедура того же тематического контроля, проводимая в форме КТ, может быть рассмотрена как элемент самоконтроля и обучения, и нести тем самым большую учебно-педагогическую нагрузку.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Рассмотрим подробно содержание одного из тематических тестов.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Тест № 1. Комплексные числа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Тест содержит 12 теоретических и 5 практических вопросов, типов A – D. Цель теста – обнаружение у учащегося основных теоретических знаний, практических умений и навыков по вопросам: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понятие модуля и аргумента комплексного числа;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различные формы комплексного числа;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действия над комплексными числами.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Оптимальное время тестирования (установленное в процессе диагностического исследования) 40 минут. Приведем экранные формы некоторых заданий теста.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Теоретический вопрос типа А (экранная форма на Рис. 2):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26" type="#_x0000_t75" style="width:299.25pt;height:227.25pt">
            <v:imagedata r:id="rId5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2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Учащемуся необходимо определить формулу Эйлера из пяти предложенных. Ответить следует «флажком» на соответствующем номере, после чего нажатием клавиши «ОК» совершается переход к следующему вопросу.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При необходимости, переход от одного вопроса к другому совершается посредством «результативного» окна, в котором дается информация о правильности ответа.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Практический вопрос типа А (экранная форма на Рис. 3).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Ответ на этот вопрос предполагает предварительное решение с использованием формулы Муавра для дробного показателя.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27" type="#_x0000_t75" style="width:299.25pt;height:247.5pt">
            <v:imagedata r:id="rId6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3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Вопрос типа C, теоретический в данном случае (Рис. 4):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28" type="#_x0000_t75" style="width:297.75pt;height:245.25pt">
            <v:imagedata r:id="rId7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4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Ответить на данный вопрос следует установкой двух (номера 1 и 5) «флажков». Проверяются знания основных понятий о комплексных числах.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29" type="#_x0000_t75" style="width:297.75pt;height:247.5pt">
            <v:imagedata r:id="rId8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5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Вопрос типа D – теоретический вопрос на соответствие (Рис. 5).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Вниманию испытуемого представлены пять выражений (на сером фоне), определяющих различные действия над комплексными числами. Таблица (белый фон) содержит два столбца (множества), в первом из которых перечислены номера данных выражений, во втором – действия над комплексными числами. Необходимо определить все пять пар соответствия. Левой клавишей мыши производим попеременное нажатие в левое – правое поля, при этом в горизонтальном поле отображаются определившиеся соответствия.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 педагогическом эксперименте, который осуществлялся в период с 1 октября 2002 г. по 15 января 2003 г., приняли участие 85 студентов 2 курса, обучающихся по двум специальностям экономического факультета. Компьютерное тестирование, целью которого было осуществление тематического (рубежного) контроля, проводилось по всем темам учебного плана третьего семестра и носило исследовательский характер. Исследованию подлежали два основных пункта: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Целесообразность использования данной тестирующей оболочки в процессе обучения высшей математике.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Создание эффективных тестов, оценивающих умения учащихся.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Необходимо было решить следующие диагностические задачи: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сравнить уровни усвоения учебного материала, определенные посредством применения традиционных форм контроля и опытным путем, посредством использования КТ;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оценить качество самих тестов.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Анализу подверглись следующие показатели: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количество правильных ответов на тестовые задания;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время тестирования;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мнение учащихся (анкета).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Так как представленная методика тестового контроля является пробной и носит исследовательский характер, то процесс тестирования осуществлялся параллельно с традиционным контролем (по тем же темам были проведены коллоквиумы и письменные контрольные работы).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Сравнительный анализ результатов показал приемлемость проведения контроля в форме КТ для проверки промежуточных знаний, умений и навыков студентов по рассмотренным темам. Результаты тестирования хорошо согласовывались с результатами, полученными при использовании других методов опроса и контроля.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Кроме того, результаты анкетирования, проведенного на завершающем этапе исследования, подтвердили не только целесообразность, но и большие потенциальные возможности использования КТ в плане обучения и контроля (самоконтроля в том числе). Около 68% респондентов сочли предложенную форму тестирования более предпочтительной традиционному контролю; 39% испытуемых отметили, что КТ более интересно. Возможность использования компьютерных тестов для обучения, промежуточного контроля и самоконтроля подтвердили 31%, и 64% и 57% (соответственно) опрошенных. Получены интересные данные о том, как именно можно использовать КТ в плане обучения. По мнению студентов, КТ позволяет им: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усваивать частями и последовательно большой объем учебного материала (подтвердили 33% респондентов);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запоминать значительное число формул (43%);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готовиться дополнительно по выявленным в ходе тестирования недостаточно изученным темам (58%).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Анализ результатов тестирования и расчет среднестатистических тестовых показателей позволил выявить наиболее сложные, неясно сформулированные или слишком простые задания. Это привело к необходимости изменения содержания или формы представления тестовых заданий, а также к решению вопроса о нецелесообразности включения отдельных заданий в тест. Так, например, на графике (Рис. 6) мы видим номера тех тестовых заданий (1, 5, 10), на которые дано минимальное количество правильных ответов в теме «Комплексные числа».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30" type="#_x0000_t75" style="width:275.25pt;height:133.5pt">
            <v:imagedata r:id="rId9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6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Эта информация позволила сделать вывод о недостаточном уровне усвоения понятия аргумента комплексного числа, что можно рассматривать, в том числе и как следствие определенных пробелов в знании элементарной математики.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 тесте «Числовые ряды» наибольшую трудность вызвало тестовое задание № 8 (как видно из графика на Рис. 7). </w:t>
      </w:r>
    </w:p>
    <w:p w:rsidR="00342FF9" w:rsidRPr="00767E43" w:rsidRDefault="00513259" w:rsidP="00342FF9">
      <w:pPr>
        <w:spacing w:before="120"/>
        <w:ind w:firstLine="567"/>
        <w:jc w:val="both"/>
      </w:pPr>
      <w:r>
        <w:pict>
          <v:shape id="_x0000_i1031" type="#_x0000_t75" style="width:276pt;height:135pt">
            <v:imagedata r:id="rId10" o:title=""/>
          </v:shape>
        </w:pic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Рис. 7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Ответ на это задание требует от учащихся не только знания признаков сходимости числовых рядов (текущие знания), но и теоретических знаний о пределах последовательностей, а также практических навыков техники вычисления пределов (материал I семестра). Низкий балл правильных ответов свидетельствует о том, что недоработка произошла уже в курсе высшей математики и определенные вопросы следует повторить.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В сложившейся ситуации, актуальной видится задача организации пропедевтического тестирования, выявляющего уровень начальных знаний, умений и навыков, необходимых учащимся для успешного освоения предстоящей темы.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Кроме того, удалось назначить для каждого тематического теста оптимальное время тестирования, что помогает в значительной мере планировать учебный процесс.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Таким образом, полученная в ходе эксперимента информация дает возможность, во-первых постепенного создания надежных тестов и, во-вторых, разработки методики эффективного их использования в обучающем процессе. </w:t>
      </w:r>
    </w:p>
    <w:p w:rsidR="00342FF9" w:rsidRPr="00E222A2" w:rsidRDefault="00342FF9" w:rsidP="00342FF9">
      <w:pPr>
        <w:spacing w:before="120"/>
        <w:jc w:val="center"/>
        <w:rPr>
          <w:b/>
          <w:bCs/>
          <w:sz w:val="28"/>
          <w:szCs w:val="28"/>
        </w:rPr>
      </w:pPr>
      <w:r w:rsidRPr="00E222A2">
        <w:rPr>
          <w:b/>
          <w:bCs/>
          <w:sz w:val="28"/>
          <w:szCs w:val="28"/>
        </w:rPr>
        <w:t>Список литературы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 xml:space="preserve"> [Аванесов В.С., 1998] Аванесов В.С. Композиция тестовых заданий. Учебная книга для преподавателей вузов, учителей школ, аспирантов и студентов педвузов. 2 изд., испр. и доп. М.: Адепт, 1998. – 217 с. 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[Аванесов В.С., 1994] Аванесов В.С. Научные основы тестового контроля знаний, М. Иссл. центр, 1994 .-135 с.</w:t>
      </w:r>
    </w:p>
    <w:p w:rsidR="00342FF9" w:rsidRPr="00767E43" w:rsidRDefault="00342FF9" w:rsidP="00342FF9">
      <w:pPr>
        <w:spacing w:before="120"/>
        <w:ind w:firstLine="567"/>
        <w:jc w:val="both"/>
      </w:pPr>
      <w:r w:rsidRPr="00767E43">
        <w:t>[И.Х. Галеев и др., 2003] И.Х. Галеев, Д.Л. Храмов, А.П. Светлаков, О.В. Колосов. Адаптивное обучение и тестирование. //Материалы Всероссийской научно-методической конференции «Развитие методов и средств компьютерного адаптивного тестирования», 17-18 апреля 2003 г. – С. 33-35.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FF9"/>
    <w:rsid w:val="00342FF9"/>
    <w:rsid w:val="003F3287"/>
    <w:rsid w:val="00513259"/>
    <w:rsid w:val="00767E43"/>
    <w:rsid w:val="00BB0DE0"/>
    <w:rsid w:val="00C860FA"/>
    <w:rsid w:val="00CF6D8D"/>
    <w:rsid w:val="00E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89CD79C1-F0A5-4BF5-B86F-5D898B63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F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8512</Words>
  <Characters>4852</Characters>
  <Application>Microsoft Office Word</Application>
  <DocSecurity>0</DocSecurity>
  <Lines>40</Lines>
  <Paragraphs>26</Paragraphs>
  <ScaleCrop>false</ScaleCrop>
  <Company>Home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использовании компьютерного тестирования в обучении высшей математике</dc:title>
  <dc:subject/>
  <dc:creator>User</dc:creator>
  <cp:keywords/>
  <dc:description/>
  <cp:lastModifiedBy>admin</cp:lastModifiedBy>
  <cp:revision>2</cp:revision>
  <dcterms:created xsi:type="dcterms:W3CDTF">2014-01-25T20:09:00Z</dcterms:created>
  <dcterms:modified xsi:type="dcterms:W3CDTF">2014-01-25T20:09:00Z</dcterms:modified>
</cp:coreProperties>
</file>