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1A" w:rsidRPr="00EA1FD1" w:rsidRDefault="00DD071A" w:rsidP="00DD071A">
      <w:pPr>
        <w:spacing w:before="120"/>
        <w:jc w:val="center"/>
        <w:rPr>
          <w:b/>
          <w:bCs/>
          <w:sz w:val="32"/>
          <w:szCs w:val="32"/>
        </w:rPr>
      </w:pPr>
      <w:r w:rsidRPr="00EA1FD1">
        <w:rPr>
          <w:b/>
          <w:bCs/>
          <w:sz w:val="32"/>
          <w:szCs w:val="32"/>
        </w:rPr>
        <w:t xml:space="preserve">К вопросу об устойчивости номинативных моделей на территории вторичных говоров </w:t>
      </w:r>
    </w:p>
    <w:p w:rsidR="00DD071A" w:rsidRPr="00EA1FD1" w:rsidRDefault="00DD071A" w:rsidP="00DD071A">
      <w:pPr>
        <w:spacing w:before="120"/>
        <w:jc w:val="center"/>
        <w:rPr>
          <w:sz w:val="28"/>
          <w:szCs w:val="28"/>
        </w:rPr>
      </w:pPr>
      <w:r w:rsidRPr="00EA1FD1">
        <w:rPr>
          <w:sz w:val="28"/>
          <w:szCs w:val="28"/>
        </w:rPr>
        <w:t>Т. А. Шишкина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Вопрос об устойчивости номинативных моделей является актуальным в связи с решением достаточно широкого круга проблем современной русистики: способы и средства отражения в языке национального сознания, языковой картины личности, причины и пределы вариативности языковой системы, полное описание диалектных языковых подсистем и пр.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Номинативная модель рассматривается автором исследования как модель, образец, аккумулирующий в своих пределах выделяемый признак именуемого объекта (ИО) - мотив, способ интерпретации признака именующим субъектом - непосредственный или опосредованный, способ формального воплощения идеального содержания в номинативную единицу.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Устойчивость (неизменяемость во времени) номинативных моделей, по которым создаются наименования конкретных предметов, обусловлена рядом факторов: наличием неизменяемых онтологических признаков ИО и субъекта номинации, устойчивостью традиции в использовании ИО, типичностью выделяемого признака для определенного класса лексики. Вариативность номинативной модели возникает за счет вариативности словообразовательных средств, используемых для создания той или иной тематической или лексико-семантической группы слов.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Автором работы было предпринято исследование номинативных моделей тематической группы "Растения" (наименования трав, деревьев/кустарников, злаков, овощей, ягод, грибов) на территории вторичных сибирских говоров. Цель исследования - установить, насколько распространены в современных сибирских говорах модели наименований, отмеченные в памятниках письменности этого региона (летописях) XVII - первой половины XVIII вв.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Сибирская лексика объектом исследования избрана не случайно: русские говоры этой территории были сформированы в результате интеграции разнодиалектных основ европейской Руси, а также под влиянием языков славянских переселенцев и аборигенных языков Сибири. Использование русского языка как языка межнационального общения, формирование сибирского диалекта привело к значительным изменениям исходных лексических систем (А.И. Федоров). В целом номинативная подсистема сибирских говоров в области конкретных предметов оказалась более простой по сравнению с русскими диалектами Европы. Территория вторичных говоров с точки зрения изменений в номинативных моделях представляет больший интерес: именно на этой территории при взаимодействии разных языковых традиций могли появиться новые модели, одни из древних моделей закрепиться, другие исчезнуть.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Материалом исследования послужили производные русские фитонимы, взятые сплошной выборкой из "Словаря русской народно-диалектной речи в Сибири XVII - первой половины XVIII в." (Сост. Л.Г. Панин. Новосибирск, 1991). В результате анализа наименований был выявлен ряд моделей, установлено наличие тождественных моделей и частотность их распространения в сибирских диалектах XIX-XX вв. по Словарю русских народных говоров (тт. 1-32. М.-Л., 1965-1998.), Толковому словарю живого великорусского языка В.И. Даля, современным сибирским диалектным словарям, изданным до 2000 г.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Анализ 50 производных фитонимов позволил выделить 16 номинативных моделей.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Модели характеризующего (отражающего онтологические признаки) принципа номинации: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1. Наименования по морфологической части, совокупности по составляющей единице: БЕРЕЗНИК (Тюм., 1990, Тобол., 1657-1658), ИВНЯГО (Нерчин., 1671), КАРАГАЛЬНИК (Прииртыш., 1654-1657), ЛИПНЯГ (Тобол., 1683), ЛИПНЯК (Нерчин., 1671), ЛИСВНЯГ (Верхотур.,1665), ЛИСТВЯГ (Илим., 1703), ЛИСТВЕНИШНИК (Верхотур., 1665), ЛИСТВЯК (Илим.,1733), ОСОКОРНИК (Верхотур.,1665, Нерчин., 1671), СОСНЯГ (Тюм., 1699), СОСНЯГО (Нерчин., 1671), ТАВОЛОЖНИК (Тобол., 1657-1658), ЧЕРЕМОШНИК (Тобол., 1657- 1658, Илим., 1733), ТАЛЬНИК , ОСИННИК, Кедровник, пихтовник ольховник, ельник, сосна (Илим., 1733).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2. Наименования по окраске ИО или его составной части непосредственно: ЗЕЛЕНЬ- несозревшие всходы хлебов (озимых).( Томск., 1636), ВОРОНЕЦ (Якут., 1674), БРОНЕЦ ЧЕРНЫЙ, БРОНЕЦ КРАСНЫЙ, ДЕВЕТИЛЬНИК БЕЛЫЙ (Якут., 1674), КРАСНЫЙ ЛЕС - сосновый и лиственный лес.(Нарым.,1643), ТЕМНЫЙ ЛЕС - хвойный лес.(Енис., 1676, Илим., 1675).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3. Наименования по форме опосредованно по части тела с уточняющим признаком принадлежности: ЗВЕРИНЫЙ ЯЗЫК (Якут., 1674), КОРОВЕЙ ЯЗЫК (Тобол., 1739), ПЕТУШКОВЫ ПАЛЬЦЫ (Якут.,1674).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4. Наименования по форме опосредованно по предмету, растению с отличительным признаком места произрастания: ГРУШИЦЫ ЗЕМЛЯНЫЕ - земляные орехи, СВЕЧКИ ЗЕМЛЯНЫЕ (Якут., 1674).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5. Наименование по признаку состояния/возраста: ДИКИЙ ЛЕС - старый, глухой лес. (Тобол., 1683).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6. Наименование по признаку запаха: ДУШИЦА - наименование травы.(Тобол., 1739, Якут., 1674).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7. Наименование по комплексу признаков опосредованно по предмету: ПРОСВИРКИ (Якут., 1674).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Модели функционального (отражающего использование ИО) принципа номинации: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8,9. Наименования по действию на ИО непосредственно и опосредованно по продукту: ЖНИТВО - хлеб на корню. (Кузнецк., XVII в.), БОРЩ, БОРШ (Тобол., 1742, Томск., 1636).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10. Наименования по действию ИО: БЫЛИЕ - трава, растения. (Илим., 1636).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11, 12. Наименование по объекту воздействия ИО непосредственно - части тела, имени собственному: ГОРЛИЦА - наименование травы, МАРЬИН КОРЕНЬ - пион.(Якут., 1674).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13. Наименование по объекту воздействия ИО опосредованно по количеству объектов: ДЕВЕТИЛЬНИК (Тобол., 1739).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14. Наименование по месту происхождения: ГРЕЧУХА - гречиха. (Илим., 1743)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15. Наименование по месту произрастания непосредственно или опосредованно по действию на место: ПАХОТА - хлеб на корню. (Тобол., 1640; пахота - "пахотная земля ". Тобол., 1716).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16. Наименования по времени сева непосредственно по признаку времени: ЯРИЦА - яровой хлеб. (Тобол., 1666., Чаусск., 1747., Илим., 1722). </w:t>
      </w:r>
    </w:p>
    <w:p w:rsidR="00DD071A" w:rsidRDefault="00DD071A" w:rsidP="00DD071A">
      <w:pPr>
        <w:spacing w:before="120"/>
        <w:ind w:firstLine="567"/>
        <w:jc w:val="both"/>
      </w:pPr>
      <w:r w:rsidRPr="00EA1FD1">
        <w:t xml:space="preserve">Сопоставление номинативных моделей XVII- первой половины XVIII века с моделями XIX-XX века показало, что судьба указанных моделей может быть различной. Так, модель 1 (БЕРЕЗНИК), будучи продуктивной в XVII-XVIII вв. в наименованиях лесов по основной породе деревьев, их составляющих, сохраняет продуктивность в сибирских и европейских говорах и в XIX-XX вв.: в сибирских говорах - 11,7 % от анализируемых наименований, зафиксированных в сибирских говорах; в европейских - 10,7% от анализируемых наименований, зафиксированных в европейских говорах. Модель сохраняет продуктивность при образовании наименований деревьев в сибирских говорах: 2,8 % при 0,4% в наименованиях трав, 0,98% в наименованиях ягод, 0,1% в наименованиях овощей и т.д. То же справедливо и по отношению к модели 6 (ДУШИЦА). Модель 2 (ЗЕЛЕНЬ) в XVII-XVIII вв. отмечена в наименованиях трав, злаков и деревьев. В XIX-XX вв. зафиксирована высокая продуктивность модели в тематических подгруппах травянистых растений и деревьев: 2,4% в наименованиях трав, 1,6% в именованиях деревьев и кустарников при 1% в наименованиях грибов, 0,7% - ягод, 0,3% - злаков, овощей. Интересным является факт бо/льшей продуктивности мотива "по окраске" в тематических подгруппах "Деревья/кустарники" и "Злаки" в сибирских говорах по сравнению с европейскими: 1,8% в сибирских, 0 ,5% в европейских говорах в наименованиях деревьев / кустарников, 0,3% в сибирских, 0,09% в европейских говорах в наименованиях злаковых. По модели 7 (ПРОСВИРКИ) в XVII в. отмечено именование только травянистого растения. В XIX-XX вв. модель отмечается в именованиях других растительных объектов: 1,1% в наименованиях трав при 0,1 % в названиях грибов, 0,07 в названиях деревьев и кустарников. Модели 4 (ГРУШИЦЫ ЗЕМЛЯНЫЕ) и 3 (ЗВЕРИНЫЙ ЯЗЫК) в XIX-XX вв. сохранили частотность в подгруппе травянистых растений. Но модель 3 в сибирских говорах менее продуктивна, чем в европейских: 0,27% в сибирских при 0,64% в европейских, а модель 4 в сибирских говорах в XIX-XX вв. не отмечена.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Результаты анализа номинативных моделей фитонимов позволяют сделать следующие выводы: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Номинативные модели, отмеченные в сибирских летописях XVII - первой половины XYIII в., практически все сохранились и зафиксированы в речи диалектоносителей XIX-XX вв. в пределах тех же тематических подгрупп. Устойчивости номинативных моделей способствует сохранение языковых традиции в номинации, последние же отражают специфику национального мышления и мировидения, отражают сохраняемые народом культурные традиции в использовании биофактов. </w:t>
      </w:r>
    </w:p>
    <w:p w:rsidR="00DD071A" w:rsidRPr="00EA1FD1" w:rsidRDefault="00DD071A" w:rsidP="00DD071A">
      <w:pPr>
        <w:spacing w:before="120"/>
        <w:ind w:firstLine="567"/>
        <w:jc w:val="both"/>
      </w:pPr>
      <w:r w:rsidRPr="00EA1FD1">
        <w:t xml:space="preserve">Большая часть моделей в пределах определенной тематической группы сохранила продуктивность. При этом продуктивность модели чаще сохраняется при именовании по характеризующему признаку, а не по функциональному. Единичные модели в диалектной речи XIX-XX столетия не отмечены. Как предполагается, они являются кальками, и употребление их уже в XVII- XVIII вв. было ограничено.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71A"/>
    <w:rsid w:val="003F1D61"/>
    <w:rsid w:val="0049202C"/>
    <w:rsid w:val="00500139"/>
    <w:rsid w:val="006B11B3"/>
    <w:rsid w:val="00CE0341"/>
    <w:rsid w:val="00DD071A"/>
    <w:rsid w:val="00EA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0E422B-30F8-4820-BA68-1CA51C7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0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об устойчивости номинативных моделей на территории вторичных говоров </vt:lpstr>
    </vt:vector>
  </TitlesOfParts>
  <Company>Home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об устойчивости номинативных моделей на территории вторичных говоров </dc:title>
  <dc:subject/>
  <dc:creator>User</dc:creator>
  <cp:keywords/>
  <dc:description/>
  <cp:lastModifiedBy>admin</cp:lastModifiedBy>
  <cp:revision>2</cp:revision>
  <dcterms:created xsi:type="dcterms:W3CDTF">2014-02-14T15:12:00Z</dcterms:created>
  <dcterms:modified xsi:type="dcterms:W3CDTF">2014-02-14T15:12:00Z</dcterms:modified>
</cp:coreProperties>
</file>