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38" w:rsidRDefault="00995838">
      <w:pPr>
        <w:jc w:val="center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Якутский государственный университет им. М.К. Аммосова</w:t>
      </w:r>
    </w:p>
    <w:p w:rsidR="00995838" w:rsidRDefault="00995838">
      <w:pPr>
        <w:jc w:val="center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Медицинский институт</w:t>
      </w:r>
    </w:p>
    <w:p w:rsidR="00995838" w:rsidRDefault="00995838">
      <w:pPr>
        <w:jc w:val="center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Кафедра терапии</w:t>
      </w:r>
    </w:p>
    <w:p w:rsidR="00995838" w:rsidRDefault="00995838">
      <w:pPr>
        <w:jc w:val="center"/>
      </w:pPr>
    </w:p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>
      <w:pPr>
        <w:pStyle w:val="1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Выпускная работа</w:t>
      </w:r>
    </w:p>
    <w:p w:rsidR="00995838" w:rsidRDefault="00995838"/>
    <w:p w:rsidR="00995838" w:rsidRDefault="00995838">
      <w:pPr>
        <w:pStyle w:val="a4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тема: “Качество жизни больных с имплантированным электрокардиостимулятором”.</w:t>
      </w:r>
    </w:p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>
      <w:pPr>
        <w:ind w:left="5387" w:right="-908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Выполнил: студент ЛФ-93 Т-9</w:t>
      </w:r>
    </w:p>
    <w:p w:rsidR="00995838" w:rsidRDefault="00995838">
      <w:pPr>
        <w:ind w:left="5387" w:right="-908"/>
      </w:pPr>
    </w:p>
    <w:p w:rsidR="00995838" w:rsidRDefault="00995838">
      <w:pPr>
        <w:ind w:left="5387" w:right="-908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Руководитель: доцент</w:t>
      </w:r>
    </w:p>
    <w:p w:rsidR="00995838" w:rsidRDefault="00995838">
      <w:pPr>
        <w:ind w:left="5387" w:right="-908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Артамонова Т.С.</w:t>
      </w:r>
    </w:p>
    <w:p w:rsidR="00995838" w:rsidRDefault="00995838">
      <w:pPr>
        <w:ind w:left="5387" w:right="-908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Рецензент:</w:t>
      </w:r>
    </w:p>
    <w:p w:rsidR="00995838" w:rsidRDefault="00995838">
      <w:pPr>
        <w:ind w:left="5387" w:right="-908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Петров И.И</w:t>
      </w:r>
    </w:p>
    <w:p w:rsidR="00995838" w:rsidRDefault="00995838">
      <w:pPr>
        <w:ind w:left="5387" w:right="-908"/>
      </w:pPr>
    </w:p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>
      <w:pPr>
        <w:pStyle w:val="a4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Г. Якутск – 1999 год.</w:t>
      </w:r>
    </w:p>
    <w:p w:rsidR="00995838" w:rsidRDefault="00995838"/>
    <w:p w:rsidR="00995838" w:rsidRDefault="00995838">
      <w:p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Содержание: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Список сокращений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Введение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Литературный обзор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Материалы и методы исследования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Анализ результатов исследования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Заключение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Выводы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Практические рекомендации</w:t>
      </w:r>
    </w:p>
    <w:p w:rsidR="00995838" w:rsidRDefault="00995838">
      <w:pPr>
        <w:numPr>
          <w:ilvl w:val="0"/>
          <w:numId w:val="1"/>
        </w:numPr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Список используемой литературы</w:t>
      </w:r>
    </w:p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/>
    <w:p w:rsidR="00995838" w:rsidRDefault="00995838">
      <w:pPr>
        <w:ind w:firstLine="360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Список сокращений.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ХСН – хроническая сердечная недостаточность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ЭКГ – электрокардиография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ЭКС – электрокардиостимуляция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Эхо КТ – эхокардиография</w:t>
      </w: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Введение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Выживаемость больных с полной атриовентрикулярной блокадой все еще остается невысокой. Через год после ее возникновения выживает 60 % больных, а через 5 лет только 20 % больных.</w:t>
      </w:r>
    </w:p>
    <w:p w:rsidR="00995838" w:rsidRDefault="00995838">
      <w:pPr>
        <w:pStyle w:val="21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Внедрение в лечебную практику метода ЭКС явилось существенным достижением в лечении полной атриовентрикулярной блокады. Она позволила значительно улучшить прогноз жизни больных, повысить продолжительность и качество жизни. Представляет интерес проанализировать качество жизни больных с имплантированным ЭКС, находящихся на лечении в кардиологическом отделении Якутской городской больницы.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Цель настоящего исследования – провести анализ качества жизни больных с имплантированным ЭКС.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Для выполнения этой цели поставлены следующие задачи.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Провести анализ: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1.клинических симптомов и течения основного заболевания до имплантации ЭКС.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2.динамики клинических симптомов и клинических течения основного заболевания после имплантации ЭКС.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3.качество жизни больных после имплантации ЭКС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4.факторов, влияющих на качество жизни этих больных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Литературный обзор.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Качество жизни – оценка человеком своего физического, психического и социального благополучия.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По литературным данным, возраст больных составляет от 25 до 81 года и средний возраст равен 62,4 годам.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Всем больным была произведена имплантация ЭКС. Причиной этого послужила полная атриовентрикулярная блокада сердца. Чтобы оценить качество жизни и результаты оперативного лечения нужны данные ЭКГ, показатели гемодинамики, общеклинические наблюдения. Оценка производилась по 3-х бальной системе – “хорошо”, “удовлетворительно”, “неудовлетворительно”.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“Хорошо” – нормализация состояния больного до  негодного, т.е. до возникновения атриовентрикулярной блокады, восстановления трудоспособности.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“Удовлетворительное” – не полная нормализация гемодинамики и др. осложнения.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“Неудовлетворительное” - тяжелые послеоперационные осложнения, нагноение ложа ЭКС, сохранение и прогрессирование недостаточности кровообращения, сепсис, смерть больного в отдаленном послеоперационном периоде. 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После имплантации у всех больных совсем исчезли синдром Морсальи-Адамса-Стокса гистологическая гипертония и уменьшились стенокардия, недостаточность кровообращения. Сократившее симптомы стенокардии, недостаточности кровообращения связаны с наличием основного заболевания, снижение компенсаторных возможностей.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Быстрое и стойкое улучшение состояние авторы статьи отмечают у лиц среднего и молодого возраста.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За период наблюдения состояние как хорошее оценено в 71,8 % случаев. Такие больные вели домашнее хозяйство, как то: стирка, уборка, приготовление пищи, подъем по лестнице до 5 этажа, вождение автомобилей, езда на велосипеде. 26,9 % вернулись к работе, из них 4,6% сохранили квалификацию, остальные инвалиды </w:t>
      </w:r>
      <w:r>
        <w:rPr>
          <w:lang w:val="en-US"/>
        </w:rPr>
        <w:t>III</w:t>
      </w:r>
      <w:r>
        <w:rPr>
          <w:rFonts w:ascii="Times NR Cyr MT Cyr" w:hAnsi="Times NR Cyr MT Cyr" w:cs="Times NR Cyr MT Cyr"/>
        </w:rPr>
        <w:t xml:space="preserve"> группы, требующие создания специальных условий труда.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Как удовлетворительное оценено в 14,5 %. У них были следующие осложнения: нагноение ложа ЭКС, неоперация в связи с дислокацией электрода ЭКС. Больные совершали небольшие пешие прогулки, подъем до 1-2 этажа. Из симптомов остались общая слабость, быстрая утомляемость. Больным проводилось кардиальная терапия, постоянно улучшающая состояние, но полной нормализации гемодинамики не было достигнуто.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Как неудовлетворительное оценено в 13,6 % случаев, 10% умерло в разные сроки. Причиной были тяжелое исходное состояние из-за основного заболевания, недостаточности кровообращения и возраста. Осложнениями была раковая инфекция сепсис. У больных не уменьшалась недостаточность кровообращения, они нуждались в постоянном уходе.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Среднегодичная летальность в первые 12 месяцев составила 0,9 %, через 36 месяцев – 5,7 %. Причинами смерти были повторные инфаркты миокарда и прогрессирующая недостаточность кровообращения.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 выживаемости больных большое значение имеет недостаточность кровообращения, возраст больных, причина кардиосклероза.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Так, наличие недостаточности кровообращения снижает выживаемость больных. Через 5 лет наблюдения больных с недостаточностью кровообращения было 70,9 %, а без недостаточности кровообращения 91,2%.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Выживаемость больных в молодом и среднем возрасте наиболее высокая, наиболее низкая 60-69 лет.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Благоприятный прогноз отмечен у лиц с постмиокардичным кардиосклерозом. Выживаемость через 9 лет составила 74,4 %. Наименее благоприятный прогноз у лиц с постинфарктным кардиосклерозом – 61,3 % за тот же срок.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Также авторы статьи отмечают высокую выживаемость больных, находящихся на диспансерном наблюдении. В течении 9 лет она составила 78,9 % ( В.А. Ольхин и соавторы, 1996 г.).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Но если некоторые считаю ЭКС эффективным методом лечения, то Б.Г. Искендеров считает метод ЭКС лишь этапом в лечении основного заболевания, поскольку ЭКС нормализует ритм и улучшает гемодинамику, но не устраняет само заболевание. Искендеров объясняет это тем, что летальность от кардиальной патологии составляет 71,3 %, а летальность непосредственно от осложнений ЭКС составила лишь 07%.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Материалы и методы исследования.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Материалом для исследования послужили 5 историй болезни больных с полной атриовентрикулярной блокадой, которым был имплантирован ЭКС, поступивших на лечение в кардиологическое отделение Якутской городской больницы.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Из 5 больных – 2-е мужчин и 3-е женщин (табл. 1).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По возрастным группам они распределились следующим образом: от 50 до 59 лет – 2-е больных, от 60 до 69 лет– 1 больной, от 70 до 79 лет – 1 больной, от 80 до 89 лет – 1 больная (табл. 2).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Если брать средний возраст, то он составляет 66,8 лет. 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По национальности из 5 больных – 4 якутов, 1 русская (табл. 3).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У 4-х больных был имплантирован 1-камерный ЭКС, у 1-го больного 2-х камерный ЭКС.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Длительность ЭКС составила от 2 до 16 лет.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Всем больным проводились следующие клинические исследования: общий анализ крови, общий анализ мочи, биохимический анализ крови на холестерин, </w:t>
      </w:r>
      <w:r>
        <w:sym w:font="Symbol" w:char="F062"/>
      </w:r>
      <w:r>
        <w:rPr>
          <w:rFonts w:ascii="Times NR Cyr MT Cyr" w:hAnsi="Times NR Cyr MT Cyr" w:cs="Times NR Cyr MT Cyr"/>
        </w:rPr>
        <w:t xml:space="preserve"> - липопротеиды, протромбиковый индекс крови, а также такие инструментальные методы исследования как ЭКГ, ЭхоКГ, рентгенография грудной клетки. 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Результаты оперативного лечения и качества жизни больных оценивались по 3 бальной системе, разработанной В.А. Ольхиным, Л.Г. Олейниковой (1996 г.). Она позволяла оценить результаты как  “хорошо”, “удовлетворительно” и  “неудовлетворительно”. Как “хорошо”, если состояние больного позволяет вернуться к труду или достигает уровня, который был до блокады сердца. “Удовлетворительное”, если определялось неполная нормализация гемодинамики и наличие осложнений. “Неудовлетворительное” - если имелись тяжелые послеоперационные осложнения (сепсис, нагноение ложа ЭКС), сохранялось недостаточность кровообращения, а также в случае смерти больного.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Распределение по полу</w:t>
      </w:r>
      <w:r>
        <w:rPr>
          <w:rFonts w:ascii="Times NR Cyr MT Cyr" w:hAnsi="Times NR Cyr MT Cyr" w:cs="Times NR Cyr MT Cyr"/>
        </w:rPr>
        <w:tab/>
      </w:r>
      <w:r>
        <w:rPr>
          <w:rFonts w:ascii="Times NR Cyr MT Cyr" w:hAnsi="Times NR Cyr MT Cyr" w:cs="Times NR Cyr MT Cyr"/>
        </w:rPr>
        <w:tab/>
      </w:r>
      <w:r>
        <w:rPr>
          <w:rFonts w:ascii="Times NR Cyr MT Cyr" w:hAnsi="Times NR Cyr MT Cyr" w:cs="Times NR Cyr MT Cyr"/>
        </w:rPr>
        <w:tab/>
      </w:r>
      <w:r>
        <w:rPr>
          <w:rFonts w:ascii="Times NR Cyr MT Cyr" w:hAnsi="Times NR Cyr MT Cyr" w:cs="Times NR Cyr MT Cyr"/>
        </w:rPr>
        <w:tab/>
        <w:t>Таблица 1</w:t>
      </w:r>
    </w:p>
    <w:p w:rsidR="00995838" w:rsidRDefault="00995838">
      <w:pPr>
        <w:ind w:firstLine="851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95838"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Пол</w:t>
            </w:r>
          </w:p>
        </w:tc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Количество больных</w:t>
            </w:r>
          </w:p>
        </w:tc>
      </w:tr>
      <w:tr w:rsidR="00995838"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Женщины</w:t>
            </w:r>
          </w:p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Мужчины</w:t>
            </w:r>
          </w:p>
        </w:tc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3 человека</w:t>
            </w:r>
          </w:p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2 человека</w:t>
            </w:r>
          </w:p>
        </w:tc>
      </w:tr>
    </w:tbl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Распределение по возрастным группам</w:t>
      </w:r>
      <w:r>
        <w:rPr>
          <w:rFonts w:ascii="Times NR Cyr MT Cyr" w:hAnsi="Times NR Cyr MT Cyr" w:cs="Times NR Cyr MT Cyr"/>
        </w:rPr>
        <w:tab/>
        <w:t>Таблица 2</w:t>
      </w:r>
    </w:p>
    <w:p w:rsidR="00995838" w:rsidRDefault="00995838">
      <w:pPr>
        <w:ind w:firstLine="851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95838"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Возраст</w:t>
            </w:r>
          </w:p>
        </w:tc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Количество больных</w:t>
            </w:r>
          </w:p>
        </w:tc>
      </w:tr>
      <w:tr w:rsidR="00995838"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50-59 лет</w:t>
            </w:r>
          </w:p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60-69 лет</w:t>
            </w:r>
          </w:p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70-79 лет</w:t>
            </w:r>
          </w:p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80-89 лет</w:t>
            </w:r>
          </w:p>
        </w:tc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2-е больных</w:t>
            </w:r>
          </w:p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1 больной</w:t>
            </w:r>
          </w:p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1 больной</w:t>
            </w:r>
          </w:p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1 больной</w:t>
            </w:r>
          </w:p>
        </w:tc>
      </w:tr>
    </w:tbl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Распределение по национальности</w:t>
      </w:r>
      <w:r>
        <w:rPr>
          <w:rFonts w:ascii="Times NR Cyr MT Cyr" w:hAnsi="Times NR Cyr MT Cyr" w:cs="Times NR Cyr MT Cyr"/>
        </w:rPr>
        <w:tab/>
      </w:r>
      <w:r>
        <w:rPr>
          <w:rFonts w:ascii="Times NR Cyr MT Cyr" w:hAnsi="Times NR Cyr MT Cyr" w:cs="Times NR Cyr MT Cyr"/>
        </w:rPr>
        <w:tab/>
        <w:t>Таблица 3</w:t>
      </w:r>
    </w:p>
    <w:p w:rsidR="00995838" w:rsidRDefault="00995838">
      <w:pPr>
        <w:ind w:firstLine="851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220"/>
        <w:gridCol w:w="2041"/>
      </w:tblGrid>
      <w:tr w:rsidR="00995838"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Национальность</w:t>
            </w:r>
          </w:p>
        </w:tc>
        <w:tc>
          <w:tcPr>
            <w:tcW w:w="2220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Русские</w:t>
            </w:r>
          </w:p>
        </w:tc>
        <w:tc>
          <w:tcPr>
            <w:tcW w:w="204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Якуты</w:t>
            </w:r>
          </w:p>
        </w:tc>
      </w:tr>
      <w:tr w:rsidR="00995838">
        <w:tc>
          <w:tcPr>
            <w:tcW w:w="4261" w:type="dxa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количество</w:t>
            </w:r>
          </w:p>
        </w:tc>
        <w:tc>
          <w:tcPr>
            <w:tcW w:w="2220" w:type="dxa"/>
          </w:tcPr>
          <w:p w:rsidR="00995838" w:rsidRDefault="00995838">
            <w:r>
              <w:t>1</w:t>
            </w:r>
          </w:p>
        </w:tc>
        <w:tc>
          <w:tcPr>
            <w:tcW w:w="2041" w:type="dxa"/>
          </w:tcPr>
          <w:p w:rsidR="00995838" w:rsidRDefault="00995838">
            <w:r>
              <w:t>4</w:t>
            </w:r>
          </w:p>
        </w:tc>
      </w:tr>
    </w:tbl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Анализ результатов исследования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Все наблюдаемые больные подразделены по основному заболеванию на группы больных: ИБС с постинфарктным кардиосклерозом – 2 больных, ИБС с атеросклеротическим кардиосклерозом – 2 больных и с дизовариальной миокардиодистрофией – 1 больная. У всех больных наблюдалась полная атриовентрикулярная блокада с ЧСС = 40-44 ударов в минуту.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У всех больных до имплантации ЭКС отмечались осложнения основного заболевания. У 4 больных наблюдалась ХСН: </w:t>
      </w:r>
      <w:r>
        <w:rPr>
          <w:lang w:val="en-US"/>
        </w:rPr>
        <w:t>I</w:t>
      </w:r>
      <w:r>
        <w:rPr>
          <w:rFonts w:ascii="Times NR Cyr MT Cyr" w:hAnsi="Times NR Cyr MT Cyr" w:cs="Times NR Cyr MT Cyr"/>
        </w:rPr>
        <w:t xml:space="preserve"> стадии у 3 больных, </w:t>
      </w:r>
      <w:r>
        <w:rPr>
          <w:lang w:val="en-US"/>
        </w:rPr>
        <w:t>II</w:t>
      </w:r>
      <w:r>
        <w:rPr>
          <w:rFonts w:ascii="Times NR Cyr MT Cyr" w:hAnsi="Times NR Cyr MT Cyr" w:cs="Times NR Cyr MT Cyr"/>
        </w:rPr>
        <w:t xml:space="preserve"> стадии у 1 больного, </w:t>
      </w:r>
      <w:r>
        <w:rPr>
          <w:lang w:val="en-US"/>
        </w:rPr>
        <w:t>III</w:t>
      </w:r>
      <w:r>
        <w:rPr>
          <w:rFonts w:ascii="Times NR Cyr MT Cyr" w:hAnsi="Times NR Cyr MT Cyr" w:cs="Times NR Cyr MT Cyr"/>
        </w:rPr>
        <w:t xml:space="preserve"> стадии у 1 больной.</w:t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У 4 больных отмечались нарушения ритма в виде: мерцательной аритмии 2 больных, желудочковой экстрасистомии 2 больных, а у 1 больной нарушение проводимости в виде полной блокады левой ножки пучка Гисса (табл. 4)</w:t>
      </w:r>
    </w:p>
    <w:p w:rsidR="00995838" w:rsidRDefault="00995838">
      <w:pPr>
        <w:ind w:firstLine="851"/>
        <w:jc w:val="both"/>
      </w:pP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Виды осложнений основного заболевания</w:t>
      </w:r>
      <w:r>
        <w:rPr>
          <w:rFonts w:ascii="Times NR Cyr MT Cyr" w:hAnsi="Times NR Cyr MT Cyr" w:cs="Times NR Cyr MT Cyr"/>
        </w:rPr>
        <w:tab/>
      </w:r>
    </w:p>
    <w:p w:rsidR="00995838" w:rsidRDefault="00995838">
      <w:pPr>
        <w:ind w:firstLine="851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у наблюдаемых больных </w:t>
      </w:r>
      <w:r>
        <w:rPr>
          <w:rFonts w:ascii="Times NR Cyr MT Cyr" w:hAnsi="Times NR Cyr MT Cyr" w:cs="Times NR Cyr MT Cyr"/>
        </w:rPr>
        <w:tab/>
      </w:r>
      <w:r>
        <w:rPr>
          <w:rFonts w:ascii="Times NR Cyr MT Cyr" w:hAnsi="Times NR Cyr MT Cyr" w:cs="Times NR Cyr MT Cyr"/>
        </w:rPr>
        <w:tab/>
      </w:r>
      <w:r>
        <w:rPr>
          <w:rFonts w:ascii="Times NR Cyr MT Cyr" w:hAnsi="Times NR Cyr MT Cyr" w:cs="Times NR Cyr MT Cyr"/>
        </w:rPr>
        <w:tab/>
      </w:r>
      <w:r>
        <w:rPr>
          <w:rFonts w:ascii="Times NR Cyr MT Cyr" w:hAnsi="Times NR Cyr MT Cyr" w:cs="Times NR Cyr MT Cyr"/>
        </w:rPr>
        <w:tab/>
        <w:t xml:space="preserve">   Таблица 4</w:t>
      </w:r>
    </w:p>
    <w:p w:rsidR="00995838" w:rsidRDefault="00995838">
      <w:pPr>
        <w:ind w:firstLine="851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995838">
        <w:trPr>
          <w:cantSplit/>
        </w:trPr>
        <w:tc>
          <w:tcPr>
            <w:tcW w:w="4260" w:type="dxa"/>
            <w:gridSpan w:val="3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ХСН</w:t>
            </w:r>
          </w:p>
        </w:tc>
        <w:tc>
          <w:tcPr>
            <w:tcW w:w="2840" w:type="dxa"/>
            <w:gridSpan w:val="2"/>
          </w:tcPr>
          <w:p w:rsidR="00995838" w:rsidRDefault="00995838">
            <w:pPr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Нарушение ритма</w:t>
            </w:r>
          </w:p>
        </w:tc>
        <w:tc>
          <w:tcPr>
            <w:tcW w:w="1420" w:type="dxa"/>
            <w:vMerge w:val="restart"/>
          </w:tcPr>
          <w:p w:rsidR="00995838" w:rsidRDefault="00995838">
            <w:pPr>
              <w:rPr>
                <w:rFonts w:ascii="Times NR Cyr MT Cyr" w:hAnsi="Times NR Cyr MT Cyr" w:cs="Times NR Cyr MT Cyr"/>
                <w:sz w:val="20"/>
                <w:szCs w:val="20"/>
              </w:rPr>
            </w:pPr>
            <w:r>
              <w:rPr>
                <w:rFonts w:ascii="Times NR Cyr MT Cyr" w:hAnsi="Times NR Cyr MT Cyr" w:cs="Times NR Cyr MT Cyr"/>
                <w:sz w:val="20"/>
                <w:szCs w:val="20"/>
              </w:rPr>
              <w:t>Нарушение проводимости полной блокады левой ножки пучка Гисса</w:t>
            </w:r>
          </w:p>
        </w:tc>
      </w:tr>
      <w:tr w:rsidR="00995838">
        <w:trPr>
          <w:cantSplit/>
        </w:trPr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lang w:val="en-US"/>
              </w:rPr>
              <w:t>I</w:t>
            </w:r>
            <w:r>
              <w:rPr>
                <w:rFonts w:ascii="Times NR Cyr MT Cyr" w:hAnsi="Times NR Cyr MT Cyr" w:cs="Times NR Cyr MT Cyr"/>
              </w:rPr>
              <w:t xml:space="preserve"> стадии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lang w:val="en-US"/>
              </w:rPr>
              <w:t>II</w:t>
            </w:r>
            <w:r>
              <w:rPr>
                <w:rFonts w:ascii="Times NR Cyr MT Cyr" w:hAnsi="Times NR Cyr MT Cyr" w:cs="Times NR Cyr MT Cyr"/>
              </w:rPr>
              <w:t xml:space="preserve"> стадии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lang w:val="en-US"/>
              </w:rPr>
              <w:t>III</w:t>
            </w:r>
            <w:r>
              <w:rPr>
                <w:rFonts w:ascii="Times NR Cyr MT Cyr" w:hAnsi="Times NR Cyr MT Cyr" w:cs="Times NR Cyr MT Cyr"/>
              </w:rPr>
              <w:t xml:space="preserve"> стадии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  <w:sz w:val="20"/>
                <w:szCs w:val="20"/>
              </w:rPr>
            </w:pPr>
            <w:r>
              <w:rPr>
                <w:rFonts w:ascii="Times NR Cyr MT Cyr" w:hAnsi="Times NR Cyr MT Cyr" w:cs="Times NR Cyr MT Cyr"/>
                <w:sz w:val="20"/>
                <w:szCs w:val="20"/>
              </w:rPr>
              <w:t>Мерцательная аритмия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  <w:sz w:val="20"/>
                <w:szCs w:val="20"/>
              </w:rPr>
            </w:pPr>
            <w:r>
              <w:rPr>
                <w:rFonts w:ascii="Times NR Cyr MT Cyr" w:hAnsi="Times NR Cyr MT Cyr" w:cs="Times NR Cyr MT Cyr"/>
                <w:sz w:val="20"/>
                <w:szCs w:val="20"/>
              </w:rPr>
              <w:t>Желудочковая экстрасистомия</w:t>
            </w:r>
          </w:p>
        </w:tc>
        <w:tc>
          <w:tcPr>
            <w:tcW w:w="1420" w:type="dxa"/>
            <w:vMerge/>
          </w:tcPr>
          <w:p w:rsidR="00995838" w:rsidRDefault="00995838">
            <w:pPr>
              <w:jc w:val="center"/>
            </w:pPr>
          </w:p>
        </w:tc>
      </w:tr>
      <w:tr w:rsidR="00995838"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3 больных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1 больной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1 больная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2 больных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2 больных</w:t>
            </w:r>
          </w:p>
        </w:tc>
        <w:tc>
          <w:tcPr>
            <w:tcW w:w="1420" w:type="dxa"/>
          </w:tcPr>
          <w:p w:rsidR="00995838" w:rsidRDefault="00995838">
            <w:pPr>
              <w:jc w:val="center"/>
              <w:rPr>
                <w:rFonts w:ascii="Times NR Cyr MT Cyr" w:hAnsi="Times NR Cyr MT Cyr" w:cs="Times NR Cyr MT Cyr"/>
              </w:rPr>
            </w:pPr>
            <w:r>
              <w:rPr>
                <w:rFonts w:ascii="Times NR Cyr MT Cyr" w:hAnsi="Times NR Cyr MT Cyr" w:cs="Times NR Cyr MT Cyr"/>
              </w:rPr>
              <w:t>1 больная</w:t>
            </w:r>
          </w:p>
        </w:tc>
      </w:tr>
    </w:tbl>
    <w:p w:rsidR="00995838" w:rsidRDefault="00995838">
      <w:pPr>
        <w:ind w:firstLine="851"/>
      </w:pPr>
    </w:p>
    <w:p w:rsidR="00995838" w:rsidRDefault="00995838">
      <w:pPr>
        <w:ind w:firstLine="851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При оценки результатов операции имплантации  ЭКС выялена в одном случае дисфункция ЭКС, которая проявлялась в периодическом его отключении и в этот период на ЭКГ регистрировался  собственный предсердный ритм сердца (ЭКГ №1). У остальных больных ЭКС был исправен. У всех больных сохранялись нарушения ритма в виде мерцательной аритмии – 2 больных, Желудочковая экстрасистомия – 2 больных (ЭКГ №2), нарушение проводимости в виде полной блокады левой ножки пучка Гисса – у 1 больной и симптомы ХСН </w:t>
      </w:r>
      <w:r>
        <w:rPr>
          <w:lang w:val="en-US"/>
        </w:rPr>
        <w:t xml:space="preserve">I </w:t>
      </w:r>
      <w:r>
        <w:rPr>
          <w:rFonts w:ascii="Times NR Cyr MT Cyr" w:hAnsi="Times NR Cyr MT Cyr" w:cs="Times NR Cyr MT Cyr"/>
        </w:rPr>
        <w:t xml:space="preserve">стадии у 3 больных, </w:t>
      </w:r>
      <w:r>
        <w:rPr>
          <w:lang w:val="en-US"/>
        </w:rPr>
        <w:t>II</w:t>
      </w:r>
      <w:r>
        <w:rPr>
          <w:rFonts w:ascii="Times NR Cyr MT Cyr" w:hAnsi="Times NR Cyr MT Cyr" w:cs="Times NR Cyr MT Cyr"/>
        </w:rPr>
        <w:t xml:space="preserve"> стадии у 1 больного, </w:t>
      </w:r>
      <w:r>
        <w:rPr>
          <w:lang w:val="en-US"/>
        </w:rPr>
        <w:t>III</w:t>
      </w:r>
      <w:r>
        <w:rPr>
          <w:rFonts w:ascii="Times NR Cyr MT Cyr" w:hAnsi="Times NR Cyr MT Cyr" w:cs="Times NR Cyr MT Cyr"/>
        </w:rPr>
        <w:t xml:space="preserve"> стадии у 1 больной.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4 больных выполняли легкую домашнюю работу, короткие прогулки на свежем воздухе, подъем по лестнице более чем на 2 этажа. Причем 2- имели инвалидность 2 группы.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Обсуждение.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Причиной для проведения ЭКС у наблюдаемых больных послужила полная атриовентрикулярная блокада, обусловленная ИБС у 4 больных и у 1 больной, связанной с дизовазмальной миокардиодистрофией. В анализе у больных до имплантации ЭКС ведущими симптомами были значительная брадикардия 40-44 ударов в минуту и хроническая сердечная недостаточность </w:t>
      </w:r>
      <w:r>
        <w:rPr>
          <w:lang w:val="en-US"/>
        </w:rPr>
        <w:t>I-III</w:t>
      </w:r>
      <w:r>
        <w:rPr>
          <w:rFonts w:ascii="Times NR Cyr MT Cyr" w:hAnsi="Times NR Cyr MT Cyr" w:cs="Times NR Cyr MT Cyr"/>
        </w:rPr>
        <w:t xml:space="preserve"> стадии.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Технически успешной имплантация ЭКС была у 4 больных, а у 1 больной через 5 лет отмечается дисфункция ЭКС в виде конкуренции ритма сердца и ЭКС. По литературным данным конкуренция искусственного и собственного ритма отмечается в 30 % случаев (Е.А. Калишилова, 1994г.).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Нарушение ритма и проводимости сохранились у всех наблюдаемых больных. Симптомы ХСН сохранились у всех наблюдаемых больных.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По данным ЭхоКГ у этих больных фракция выброса составила от 43 до 59 %. Отсутствие положительной динамики течения и осложнений у больных можно объяснить тяжестью течения основного заболевания.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Анализ анамнестических данных, общего состояния больных, гемодинамических показателей позволили оценить качество жизни больных на “удовлетворительно” в 4 случаях. Как “неудовлетворительно” оценено в 1 случае, который закончился летальным исходом.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Факторами, повлиявшими на качество жизни больных с имплантацией ЭКС были выраженные изменения сердечной мышцы до имплантации ЭКС, о чем свидетельствует наличие симптомов ХСН, нарушение ритма, проводимости у всех больных. У 1 больной после имплантации ЭКС прогрессировала ХСН, остались нарушения проводимости, ритма и присоединилась вторичная дилатационная кардиомиопатия с тромбом правого предсердия.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Заключение.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Постоянная ЭКС произведена всем больным по поводу полной атриовентрикулярной блокады, основной причиной которой бала ИБС. Постинфаритный кардиосклероз и отеросклеротический кардиосклероз. 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Клинико полной атриовентрикулярной блокады характеризуется значительной бродикордии с ЧСС 40-44 удара в минуту и симптомами ХСН </w:t>
      </w:r>
      <w:r>
        <w:rPr>
          <w:lang w:val="en-US"/>
        </w:rPr>
        <w:t>I-III</w:t>
      </w:r>
      <w:r>
        <w:rPr>
          <w:rFonts w:ascii="Times NR Cyr MT Cyr" w:hAnsi="Times NR Cyr MT Cyr" w:cs="Times NR Cyr MT Cyr"/>
        </w:rPr>
        <w:t xml:space="preserve"> стадии. Ее течение зависит от тяжести клинических проявлений основного заболевания.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 xml:space="preserve">Имплантация ЭКС оказалась эффективной у всех больных. Результаты оперативного лечения и качества жизни были удовлетворительными у 4 больных и у 1 больной – неудовлетворительным. 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Менее благоприятное течение атриовентрикулярной блокады у этих больных можно объяснить наличием у большинства постинфаритного и отеросклеротического кардиосклероза, что согласуется с литературными данными, отмечающими, что менее благоприятными бывают отдаленные результаты у больных с течение атриовентрикулярной блокадой, обусловленной постинфаритным кардиосклерозом (В.А. Ольхин, 1996 г.).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На результаты качества жизни влияние оказывает возраст больных. Все наблюдаемые больные были пожилые в возрасте от 55 до 81 года. По литературным данным наиболее низкое выживаемость наблюдается в группе больных в возрасте от 60 до 69 лет и к 9 году после имплантации ЭКС составляет 52,6 % (В.А. Ольхин, 1996 г.).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Т.о., факторами, указавшими неблагоприятные влияния на качества жизни и после имплантации ЭКС являются ХСН, возраст больных, тяжелое течение основного заболевания.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Выводы.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1.Клиническое течение основного заболевания характеризуется выраженностью изменений сердечной мышцы.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t>2</w:t>
      </w:r>
      <w:r>
        <w:rPr>
          <w:rFonts w:ascii="Times NR Cyr MT Cyr" w:hAnsi="Times NR Cyr MT Cyr" w:cs="Times NR Cyr MT Cyr"/>
        </w:rPr>
        <w:t>.Качество жизни у 4 больных удовлетворительное и у 1 больной не удовлетворительное.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3.Факторы, повлиявшие на прогноз жизни у больных с имплантированным ЭКС – это выраженность клинических проявлений основного заболевания, возраст больных.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4.У наблюдаемых больных имплантация ЭКС увеличила продолжительность жизни, но не улучшило качество жизни.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Практические рекомендации.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1.Своевременное направление на оперативное лечение.</w:t>
      </w: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2.Диспансерное наблюдение после имплантации ЭКС.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</w:pPr>
    </w:p>
    <w:p w:rsidR="00995838" w:rsidRDefault="00995838">
      <w:pPr>
        <w:pStyle w:val="2"/>
        <w:jc w:val="both"/>
      </w:pPr>
    </w:p>
    <w:p w:rsidR="00995838" w:rsidRDefault="00995838">
      <w:pPr>
        <w:pStyle w:val="2"/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Список используемой литературы:</w:t>
      </w:r>
    </w:p>
    <w:p w:rsidR="00995838" w:rsidRDefault="00995838">
      <w:pPr>
        <w:pStyle w:val="2"/>
        <w:jc w:val="both"/>
      </w:pPr>
    </w:p>
    <w:p w:rsidR="00995838" w:rsidRDefault="00995838">
      <w:pPr>
        <w:pStyle w:val="2"/>
        <w:numPr>
          <w:ilvl w:val="0"/>
          <w:numId w:val="2"/>
        </w:numPr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Б.Г. Искадеров, И.Б. Татарченко “Некоторые аспекты лечебной реабилитации больных с искусственным водителем ритма”. Журнал “Терапевтический архив” №8, 1998г., стр. 60-62.</w:t>
      </w:r>
    </w:p>
    <w:p w:rsidR="00995838" w:rsidRDefault="00995838">
      <w:pPr>
        <w:pStyle w:val="2"/>
        <w:numPr>
          <w:ilvl w:val="0"/>
          <w:numId w:val="2"/>
        </w:numPr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Е.А. Камишлова. “Клинико-электрокардиографическое  сопоставление при многолетней кардиостимуляцией у лиц с постоянной и транзиторной поперечной блокадой сердца” Журнал “Кардиология” № 9 – 10, 1994, стр. 12-95</w:t>
      </w:r>
    </w:p>
    <w:p w:rsidR="00995838" w:rsidRDefault="00995838">
      <w:pPr>
        <w:pStyle w:val="2"/>
        <w:numPr>
          <w:ilvl w:val="0"/>
          <w:numId w:val="2"/>
        </w:numPr>
        <w:jc w:val="both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В.А. Ольхин, Л.Г. Олейникова, Е.В. Колпакова, Н.Ш. Хубутия. “Качество жизни и выживаемость больных с имплантированным электрокардиостимулятором”. Журнал “Терапевтический архив” № 9, 1996г., стр 55-58.</w:t>
      </w:r>
      <w:bookmarkStart w:id="0" w:name="_GoBack"/>
      <w:bookmarkEnd w:id="0"/>
    </w:p>
    <w:sectPr w:rsidR="00995838">
      <w:headerReference w:type="default" r:id="rId7"/>
      <w:pgSz w:w="11906" w:h="16838"/>
      <w:pgMar w:top="1134" w:right="850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3F" w:rsidRDefault="0098503F">
      <w:r>
        <w:separator/>
      </w:r>
    </w:p>
  </w:endnote>
  <w:endnote w:type="continuationSeparator" w:id="0">
    <w:p w:rsidR="0098503F" w:rsidRDefault="0098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R Cyr MT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3F" w:rsidRDefault="0098503F">
      <w:r>
        <w:separator/>
      </w:r>
    </w:p>
  </w:footnote>
  <w:footnote w:type="continuationSeparator" w:id="0">
    <w:p w:rsidR="0098503F" w:rsidRDefault="0098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38" w:rsidRDefault="0099623A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995838" w:rsidRDefault="0099583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F720D"/>
    <w:multiLevelType w:val="singleLevel"/>
    <w:tmpl w:val="5F968B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682E7C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838"/>
    <w:rsid w:val="00302D05"/>
    <w:rsid w:val="00537EED"/>
    <w:rsid w:val="0098503F"/>
    <w:rsid w:val="00995838"/>
    <w:rsid w:val="0099623A"/>
    <w:rsid w:val="00F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326436-DD39-4AD6-A57D-5363C6D7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R Cyr MT" w:hAnsi="Times NR Cyr MT" w:cs="Times NR Cyr M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  <w:outlineLvl w:val="0"/>
    </w:pPr>
    <w:rPr>
      <w:sz w:val="52"/>
      <w:szCs w:val="52"/>
    </w:rPr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firstLine="851"/>
    </w:pPr>
  </w:style>
  <w:style w:type="character" w:customStyle="1" w:styleId="20">
    <w:name w:val="Основной текст 2 Знак"/>
    <w:link w:val="2"/>
    <w:uiPriority w:val="99"/>
    <w:semiHidden/>
    <w:rPr>
      <w:rFonts w:ascii="Times NR Cyr MT" w:hAnsi="Times NR Cyr MT" w:cs="Times NR Cyr MT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</w:style>
  <w:style w:type="character" w:customStyle="1" w:styleId="a5">
    <w:name w:val="Основной текст Знак"/>
    <w:link w:val="a4"/>
    <w:uiPriority w:val="99"/>
    <w:semiHidden/>
    <w:rPr>
      <w:rFonts w:ascii="Times NR Cyr MT" w:hAnsi="Times NR Cyr MT" w:cs="Times NR Cyr MT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R Cyr MT" w:hAnsi="Times NR Cyr MT" w:cs="Times NR Cyr MT"/>
      <w:sz w:val="28"/>
      <w:szCs w:val="28"/>
    </w:rPr>
  </w:style>
  <w:style w:type="character" w:customStyle="1" w:styleId="a8">
    <w:name w:val="номер страницы"/>
    <w:uiPriority w:val="99"/>
  </w:style>
  <w:style w:type="paragraph" w:styleId="21">
    <w:name w:val="Body Text Indent 2"/>
    <w:basedOn w:val="a"/>
    <w:link w:val="22"/>
    <w:uiPriority w:val="99"/>
    <w:pPr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R Cyr MT" w:hAnsi="Times NR Cyr MT" w:cs="Times NR Cyr M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Якутский государственный университет им</vt:lpstr>
    </vt:vector>
  </TitlesOfParts>
  <Company> </Company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Якутский государственный университет им</dc:title>
  <dc:subject/>
  <dc:creator>YURI</dc:creator>
  <cp:keywords/>
  <dc:description/>
  <cp:lastModifiedBy>admin</cp:lastModifiedBy>
  <cp:revision>2</cp:revision>
  <cp:lastPrinted>1999-05-06T19:49:00Z</cp:lastPrinted>
  <dcterms:created xsi:type="dcterms:W3CDTF">2014-02-17T09:07:00Z</dcterms:created>
  <dcterms:modified xsi:type="dcterms:W3CDTF">2014-02-17T09:07:00Z</dcterms:modified>
</cp:coreProperties>
</file>