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50" w:rsidRPr="00737D50" w:rsidRDefault="00737D50" w:rsidP="00737D50">
      <w:pPr>
        <w:spacing w:before="120"/>
        <w:jc w:val="center"/>
        <w:rPr>
          <w:b/>
          <w:bCs/>
          <w:sz w:val="32"/>
          <w:szCs w:val="32"/>
        </w:rPr>
      </w:pPr>
      <w:r w:rsidRPr="00737D50">
        <w:rPr>
          <w:b/>
          <w:bCs/>
          <w:sz w:val="32"/>
          <w:szCs w:val="32"/>
        </w:rPr>
        <w:t>Как не прогореть на рекламных расходах</w:t>
      </w:r>
    </w:p>
    <w:p w:rsidR="00737D50" w:rsidRPr="00737D50" w:rsidRDefault="00737D50" w:rsidP="00737D50">
      <w:pPr>
        <w:spacing w:before="120"/>
        <w:ind w:firstLine="567"/>
        <w:jc w:val="both"/>
        <w:rPr>
          <w:sz w:val="28"/>
          <w:szCs w:val="28"/>
        </w:rPr>
      </w:pPr>
      <w:r w:rsidRPr="00737D50">
        <w:rPr>
          <w:sz w:val="28"/>
          <w:szCs w:val="28"/>
        </w:rPr>
        <w:t>Мария Кузнецова, начальник консультационного отдела аудиторской компании «Horwath МКПЦН»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 xml:space="preserve">Затраты на рекламу в некоторых случаях нормируются, а в некоторых нет. Все зависит от способа рекламы. Поэтому прежде, чем выбрать тот или иной подход к рекламе, руководство компании, вместе с главным бухгалтером, должно определить, какой из них будет наиболее оптимален для предприятия с точки зрения налогов. 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Приведем небольшой пример. Торговая компания заказала рекламный видео-ролик. Она должна была решить, где его показывать: в витрине магазина или торговом зале. Выяснилось, что учесть затраты на создание ролика полностью можно только при трансляции видео в витрине. Поэтому в торговом зале рекламный ролик показывать не стали.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 xml:space="preserve">Как видим, очень важно точно знать, какие рекламные расходы нормируются, а какие нет. Ведь если фирма изначально учтет нормируемые затраты в фактическом объеме, то налоговая инспекция может привлечь ее к ответственности за неуплату налога на прибыль (ст. 122 НК РФ). </w:t>
      </w:r>
    </w:p>
    <w:p w:rsidR="00737D50" w:rsidRPr="00737D50" w:rsidRDefault="00737D50" w:rsidP="00737D50">
      <w:pPr>
        <w:spacing w:before="120"/>
        <w:jc w:val="center"/>
        <w:rPr>
          <w:b/>
          <w:bCs/>
          <w:sz w:val="28"/>
          <w:szCs w:val="28"/>
        </w:rPr>
      </w:pPr>
      <w:r w:rsidRPr="00737D50">
        <w:rPr>
          <w:b/>
          <w:bCs/>
          <w:sz w:val="28"/>
          <w:szCs w:val="28"/>
        </w:rPr>
        <w:t>Особенности налогового учета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Расходы на рекламу входят в состав затрат, связанных с производством и реализацией, в качестве прочих (пп. 28 п.1 ст. 264 НК РФ). Перед тем, как установить дату признания расходов, бухгалтер должен определить, являются ли они «длящимися». По общему правилузаказчик рекламы может учесть затраты в момент предъявления ему документов, подтверждающих факт оказания рекламной услуги (пп. 3 п. 7 ст. 272 НК РФ). Проще говоря, по дате актов выполненных работ, отчетов и иных документов, подтверждающих факт оказания услуг. Однако при этом следует учитывать условия размещения рекламы, указанные в договоре.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Пример 1</w:t>
      </w:r>
    </w:p>
    <w:p w:rsidR="00737D50" w:rsidRDefault="00737D50" w:rsidP="00737D50">
      <w:pPr>
        <w:spacing w:before="120"/>
        <w:ind w:firstLine="567"/>
        <w:jc w:val="both"/>
      </w:pPr>
      <w:r w:rsidRPr="0041011D">
        <w:t>ООО «Терция» разместило рекламные плакаты в вагонах метро на 3 месяца. Сумма расходов составила 30 тысяч руб. (без НДС). «Терция» перечислила стопроцентный аванс исполнителям 15 февраля 2006 года, плакаты были размещены 1 марта. Предположим, что норматив позволяет признать расходы на рекламу полностью.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В налоговом учете рассматриваемые расходы надо списывать равномерно в течение срока размещения рекламы (п. 1 ст. 272 НК РФ). Стороны договора установили срок в три месяца. Таким образом, ООО «Терция», начиная с марта, ежемесячно уменьшает налоговую базу на 10 тысяч руб. в течение трех месяцев.</w:t>
      </w:r>
    </w:p>
    <w:p w:rsidR="00737D50" w:rsidRDefault="00737D50" w:rsidP="00737D50">
      <w:pPr>
        <w:spacing w:before="120"/>
        <w:ind w:firstLine="567"/>
        <w:jc w:val="both"/>
      </w:pPr>
      <w:r w:rsidRPr="0041011D">
        <w:t>Как уже упоминалось выше, рекламные расходы могут быть нормируемыми и ненормируемыми. Принцип их различия прост: те виды рекламных расходов, которые указаны в пункте 4 статьи 246 Налогового кодекса, не нормируются. Перечислены там следующие виды рекламных затрат:</w:t>
      </w:r>
      <w:r>
        <w:t xml:space="preserve"> </w:t>
      </w:r>
    </w:p>
    <w:p w:rsidR="00737D50" w:rsidRDefault="00737D50" w:rsidP="00737D50">
      <w:pPr>
        <w:spacing w:before="120"/>
        <w:ind w:firstLine="567"/>
        <w:jc w:val="both"/>
      </w:pPr>
      <w:r w:rsidRPr="0041011D">
        <w:t xml:space="preserve">рекламные мероприятия через средства массовой информации (СМИ) и телекоммуникационные сети; </w:t>
      </w:r>
      <w:r>
        <w:t xml:space="preserve"> </w:t>
      </w:r>
    </w:p>
    <w:p w:rsidR="00737D50" w:rsidRDefault="00737D50" w:rsidP="00737D50">
      <w:pPr>
        <w:spacing w:before="120"/>
        <w:ind w:firstLine="567"/>
        <w:jc w:val="both"/>
      </w:pPr>
      <w:r w:rsidRPr="0041011D">
        <w:t xml:space="preserve">световая и иная наружная реклама (плакаты, стенды, световые табло); </w:t>
      </w:r>
      <w:r>
        <w:t xml:space="preserve"> </w:t>
      </w:r>
    </w:p>
    <w:p w:rsidR="00737D50" w:rsidRDefault="00737D50" w:rsidP="00737D50">
      <w:pPr>
        <w:spacing w:before="120"/>
        <w:ind w:firstLine="567"/>
        <w:jc w:val="both"/>
      </w:pPr>
      <w:r w:rsidRPr="0041011D">
        <w:t xml:space="preserve">участие в выставках, ярмарках, экспозициях; </w:t>
      </w:r>
      <w:r>
        <w:t xml:space="preserve"> </w:t>
      </w:r>
    </w:p>
    <w:p w:rsidR="00737D50" w:rsidRDefault="00737D50" w:rsidP="00737D50">
      <w:pPr>
        <w:spacing w:before="120"/>
        <w:ind w:firstLine="567"/>
        <w:jc w:val="both"/>
      </w:pPr>
      <w:r w:rsidRPr="0041011D">
        <w:t xml:space="preserve">оформление витрин, выставок-продаж, комнат образцов и демонстрационных залов; </w:t>
      </w:r>
      <w:r>
        <w:t xml:space="preserve"> </w:t>
      </w:r>
    </w:p>
    <w:p w:rsidR="00737D50" w:rsidRDefault="00737D50" w:rsidP="00737D50">
      <w:pPr>
        <w:spacing w:before="120"/>
        <w:ind w:firstLine="567"/>
        <w:jc w:val="both"/>
      </w:pPr>
      <w:r w:rsidRPr="0041011D">
        <w:t xml:space="preserve">уценка товаров, полностью или частично потерявших свои первоначальные качества при экспонировании; </w:t>
      </w:r>
      <w:r>
        <w:t xml:space="preserve"> 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 xml:space="preserve">изготовление рекламных брошюр и каталогов, содержащих информацию о реализуемых товарах, выполняемых работах, оказываемых услугах, товарных знаках и знаках обслуживания, и (или) о самой организации. 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То есть компания учтет эти расходы в сумме фактических затрат. А все остальные затраты (например, на призы, вручаемые победителям конкурсов розыгрышей, проводимых в рамках массовых рекламных кампаний) нужно признать в налоговом учете в размере 1 процента от выручки.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Обратимся к конкретным рекламным мероприятиям, реализуемым компаниями на практике. Информация о нормировании (или ненормировании) расходов на них представлена в таблице 1.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Таблица 1. Нормирование расходов на рекламные мероприятия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7"/>
        <w:gridCol w:w="2484"/>
      </w:tblGrid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Рекламное мероприятие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Default="00737D50" w:rsidP="00737D50">
            <w:pPr>
              <w:jc w:val="both"/>
            </w:pPr>
            <w:r w:rsidRPr="0041011D">
              <w:t>Нормирование</w:t>
            </w:r>
          </w:p>
          <w:p w:rsidR="00737D50" w:rsidRPr="0041011D" w:rsidRDefault="00737D50" w:rsidP="00737D50">
            <w:pPr>
              <w:jc w:val="both"/>
            </w:pPr>
            <w:r w:rsidRPr="0041011D">
              <w:t>в налоговом учете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Показ рекламного ролика в зале розничного магазина на специально установленном мониторе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Рекламные аудиообъявления в розничном магазине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 xml:space="preserve">Аудиореклама в метро, наземном транспорте 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 xml:space="preserve">Размещение рекламных плакатов в вагонах метро, переходах метро 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Реклама в сети Интернет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Нет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Распространение рекламных каталогов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Нет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Размещение рекламы на бортах наземного транспорта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 xml:space="preserve">Рекламные растяжки в городе 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Нет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Почтовая рассылка рекламной информации (письма УФНС по г. Москве от 16 марта 2005 г. № 20-08/16391, от 9 марта 2005 г. № 20-12/14600)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Раздача рекламных листовок у метро, магазинов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Раздача пробников, образцов продукции у станций метро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Дегустация продукции, товаров независимо от места ее проведения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 xml:space="preserve">Раскладка информации почты по почтовым ящикам физических лиц 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Безадресная почтовая доставка (раскладка по почтовым ящикам физических лиц) сотрудниками почты на основании договоров возмездного оказания услуг, заключенных с ФГУП «Почта России»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Да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37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Расходы на приобретение (изготовление) призов, вручаемых победителям конкурсов, проводимых в рамках рекламных кампаний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 xml:space="preserve">Да </w:t>
            </w:r>
          </w:p>
        </w:tc>
      </w:tr>
    </w:tbl>
    <w:p w:rsidR="00737D50" w:rsidRDefault="00737D50" w:rsidP="00737D50">
      <w:pPr>
        <w:spacing w:before="120"/>
        <w:ind w:firstLine="567"/>
        <w:jc w:val="both"/>
      </w:pPr>
      <w:r w:rsidRPr="0041011D">
        <w:t>Однако вопрос о нормировании необходимо решать исходя из конкретных обстоятельств.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Например, компания приняла участие в выставке. Она провела для посетителей дегустацию своей продукции. Расходы на участие в выставке являются ненормируемыми. Но по мнению автора, а к таким затратам относятся траты, непосредственно на участие в выставке (например, аренда площади, стенда, взнос за участие). А расходы на мероприятия, проводимые в рамках выставки, нельзя квалифицировать как "затраты на участие", поэтому они нормируются.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Может быть еще такая ситуация. Компания заключила договор со службой курьерской доставки. Курьер должен был раскладывать рекламные каталоги в почтовые ящики граждан. Расходы на раскладку по почтовым ящикам нормируются, а расходы на изготовление каталога принимаются в сумме фактических затрат.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Для того, чтобы компания верно рассчитала норматив для признания рекламных расходов в налоговом учете, необходимо правильно определить базис такого расчета – сумму доходов от реализации.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К доходам от реализации в налоговом учете относится выручка от реализации продукции, приобретенных товаров, прочего имущества, работ, услуг, имущественных прав. При этом не имеет значения, в денежной или натуральной форме получена выручка. В ее состав не входят НДС и акцизы. Естественно, вместе с изменением суммы доходов от реализации меняется и размер норматива.</w:t>
      </w:r>
    </w:p>
    <w:p w:rsidR="00737D50" w:rsidRPr="00737D50" w:rsidRDefault="00737D50" w:rsidP="00737D50">
      <w:pPr>
        <w:spacing w:before="120"/>
        <w:jc w:val="center"/>
        <w:rPr>
          <w:b/>
          <w:bCs/>
          <w:sz w:val="28"/>
          <w:szCs w:val="28"/>
        </w:rPr>
      </w:pPr>
      <w:r w:rsidRPr="00737D50">
        <w:rPr>
          <w:b/>
          <w:bCs/>
          <w:sz w:val="28"/>
          <w:szCs w:val="28"/>
        </w:rPr>
        <w:t xml:space="preserve">Расчет НДС 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 xml:space="preserve">Фирма может возместить НДС по ненормируемым расходам в общеустановленном порядке. А вот для нормируемых расходов установлено особое правило: НДС принимается к вычету в размере, соответствующим сумме расходов, признаваемым в налоговом учете (п. 7 ст. 171 НК РФ). 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Пример 2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 xml:space="preserve">Норматив рекламных расходов в 1 квартале 2006 года у ЗАО «Бизнес» составил 4860 руб., а по итогам полугодия - 10360 руб. ЗАО «Бизнес» в 1 квартале 2006 года в рамках рекламной акции провело розыгрыш автомобиля, стоимость которого составила 212400 руб., в том числе НДС – 32400 руб. Приз вручен победителю. Поскольку в целях уменьшения налоговой базы по налогу на прибыль вся сумма фактических расходов принята быть не может, то и НДС принять к вычету в полной сумме нельзя. 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Предположим, что ЗАО «Бизнес» представляет налоговые декларации по НДС поквартально.</w:t>
      </w:r>
      <w:r>
        <w:t xml:space="preserve"> </w:t>
      </w:r>
      <w:r w:rsidRPr="0041011D">
        <w:t>(см. таблицу 2). Таким образом, НДС в сумме 30535,20 руб. (32400 - 874,80-990) к вычету по итогам двух кварталов не может быть принят.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Таблица 2. Расчет вычета НДС по рекламным расходам ЗАО «Бизнес»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5062"/>
        <w:gridCol w:w="3226"/>
      </w:tblGrid>
      <w:tr w:rsidR="00737D50" w:rsidRPr="0041011D" w:rsidTr="00737D50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 xml:space="preserve">Период </w:t>
            </w:r>
          </w:p>
        </w:tc>
        <w:tc>
          <w:tcPr>
            <w:tcW w:w="2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Расходы на рекламу, признанные в налоговом учете (руб.)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Сумма вычета НДС по рекламным расходам (руб.)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1 квартал</w:t>
            </w:r>
          </w:p>
        </w:tc>
        <w:tc>
          <w:tcPr>
            <w:tcW w:w="2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4860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Default="00737D50" w:rsidP="00737D50">
            <w:pPr>
              <w:jc w:val="both"/>
            </w:pPr>
            <w:r w:rsidRPr="0041011D">
              <w:t xml:space="preserve">874,80 </w:t>
            </w:r>
          </w:p>
          <w:p w:rsidR="00737D50" w:rsidRPr="0041011D" w:rsidRDefault="00737D50" w:rsidP="00737D50">
            <w:pPr>
              <w:jc w:val="both"/>
            </w:pPr>
            <w:r w:rsidRPr="0041011D">
              <w:t>(4860 х 18%)</w:t>
            </w:r>
          </w:p>
        </w:tc>
      </w:tr>
      <w:tr w:rsidR="00737D50" w:rsidRPr="0041011D" w:rsidTr="00737D50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Pr="0041011D" w:rsidRDefault="00737D50" w:rsidP="00737D50">
            <w:pPr>
              <w:jc w:val="both"/>
            </w:pPr>
            <w:r w:rsidRPr="0041011D">
              <w:t>2 квартал</w:t>
            </w:r>
          </w:p>
        </w:tc>
        <w:tc>
          <w:tcPr>
            <w:tcW w:w="2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D50" w:rsidRDefault="00737D50" w:rsidP="00737D50">
            <w:pPr>
              <w:jc w:val="both"/>
            </w:pPr>
            <w:r w:rsidRPr="0041011D">
              <w:t xml:space="preserve">5500 </w:t>
            </w:r>
          </w:p>
          <w:p w:rsidR="00737D50" w:rsidRPr="0041011D" w:rsidRDefault="00737D50" w:rsidP="00737D50">
            <w:pPr>
              <w:jc w:val="both"/>
            </w:pPr>
            <w:r w:rsidRPr="0041011D">
              <w:t>(10360 – 4860)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7D50" w:rsidRDefault="00737D50" w:rsidP="00737D50">
            <w:pPr>
              <w:jc w:val="both"/>
            </w:pPr>
            <w:r w:rsidRPr="0041011D">
              <w:t>990</w:t>
            </w:r>
          </w:p>
          <w:p w:rsidR="00737D50" w:rsidRPr="0041011D" w:rsidRDefault="00737D50" w:rsidP="00737D50">
            <w:pPr>
              <w:jc w:val="both"/>
            </w:pPr>
            <w:r w:rsidRPr="0041011D">
              <w:t>(5500 х 18%)</w:t>
            </w:r>
          </w:p>
        </w:tc>
      </w:tr>
    </w:tbl>
    <w:p w:rsidR="00737D50" w:rsidRDefault="00737D50" w:rsidP="00737D50">
      <w:pPr>
        <w:spacing w:before="120"/>
        <w:ind w:firstLine="567"/>
        <w:jc w:val="both"/>
      </w:pPr>
      <w:r w:rsidRPr="0041011D">
        <w:t xml:space="preserve">Законодатели расширили состав необлагаемых операций (закон от 22 июля 2005 г. № 119-ФЗ). Так, с 1 января 2006 года была освобождена от налогообложения передача в рекламных целях товаров (работ, услуг), которые стоят не дороже 100 рублей. 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Контролирующие органы и раньше пытались передачу товаров в рекламных целях облагать НДС как безвозмездную (письма Минфина РФ от 25 ноября 2004 г. № 03-04-11/209, от 16 августа 2005 г. № 03-04-11/205, УМНС по г. Москве от 15 июля 2004 г. № 24-14/47585). Теперь эта позиция законодательно закреплена. Включив в состав льготируемых операцию по передаче недорогой продукции, законодатель тем самым косвенно указал на то, что передача иных рекламных товаров НДС облагается.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Пример 3</w:t>
      </w:r>
    </w:p>
    <w:p w:rsidR="00737D50" w:rsidRDefault="00737D50" w:rsidP="00737D50">
      <w:pPr>
        <w:spacing w:before="120"/>
        <w:ind w:firstLine="567"/>
        <w:jc w:val="both"/>
      </w:pPr>
      <w:r w:rsidRPr="0041011D">
        <w:t xml:space="preserve">Вернемся к примеру 2. Для упрощения пренебрегаем нормами статьи 163 Налогового кодекса РФ и допускаем, что налоговым периодом является квартал. Поскольку ЗАО «Бизнес» в 1 квартале передало призовой автомобиль победителю, то в данном периоде необходимо начислить НДС в сумме 32400 ((212400 – 32400) х 18%). </w:t>
      </w:r>
    </w:p>
    <w:p w:rsidR="00737D50" w:rsidRDefault="00737D50" w:rsidP="00737D50">
      <w:pPr>
        <w:spacing w:before="120"/>
        <w:ind w:firstLine="567"/>
        <w:jc w:val="both"/>
      </w:pPr>
      <w:r w:rsidRPr="0041011D">
        <w:t xml:space="preserve">По общему правилу входной НДС по товарам (работам, услугам), использованным для облагаемых НДС операций, принимается к вычету. Но принять налог к вычету в полной сумме нельзя, поскольку в отношении входного НДС по нормируемым расходам установлена специальная норма (п. 7 ст. 171 НК РФ). ЗАО «Бизнес» в 1 квартале возместит НДС в сумме 874,80 (см. пример 2). </w:t>
      </w:r>
      <w:r>
        <w:t xml:space="preserve"> 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Такая ситуация влечет негативные налоговые последствия. Но если в итоге норматив позволяет принять к вычету полную сумму НДС или при передаче, например, рекламных каталогов, расходы на изготовление которых не нормируются, выгода налогоплательщика очевидна.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Пример 4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 xml:space="preserve">Компания распространила рекламные каталоги, стоимость единицы которых превышает 100 руб. За их изготовление фирма заплатила 11800 руб., в том числе НДС – 1800 руб. Компания начисляет НДС со стоимости переданных каталогов – 1800 руб. ((11800 – 1800) х 18%). Поскольку изготовленные каталоги использованы для облагаемых налогом операций, НДС по услугам изготовления каталогов в размере 1800 руб. может быть принят к вычету при наличии счета-фактуры. Таким образом, по данной операции сумма НДС, подлежащего уплате в бюджет, равна нулю. Но при этом компания, рассчитывая налог на прибыль, учтет сумму начисленного НДС– 1800 руб. (пп. 1 п. 1 ст. 264 НК РФ). Итак, НДС в бюджет фактически платить не нужно, а база по налогу на прибыль уменьшается на сумму начисленного НДС. 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Однако и с дешевыми рекламными товарами не все так просто.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Во-первых, тем налогоплательщикам, которые решат воспользоваться льготой, придется подтвердить, что расходы на создание единицы такого товара не превышают 100 руб. Для этого придется скалькулировать все затраты, связанные с созданием рекламной продукции, а это порой нелегко.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Во-вторых, компания должна будет наладить раздельный учет входного НДС по необлагаемым операциям (п. 4 ст. 170 НК РФ). Делать это нужно для того, чтобы НДС в части необлагаемых операций был отнесен в стоимость товаров (работ, услуг), а по облагаемым – принят к вычету.</w:t>
      </w:r>
    </w:p>
    <w:p w:rsidR="00737D50" w:rsidRPr="0041011D" w:rsidRDefault="00737D50" w:rsidP="00737D50">
      <w:pPr>
        <w:spacing w:before="120"/>
        <w:ind w:firstLine="567"/>
        <w:jc w:val="both"/>
      </w:pPr>
      <w:r w:rsidRPr="0041011D">
        <w:t>Таким образом, налогоплательщику необходимо просчитать, рационально ли применять вновь введенную льготу. К тому же нужно учесть, что, облагая передачу рекламных товаров, налогоплательщик вовсе не остается в накладе (см. пример 4).</w:t>
      </w:r>
    </w:p>
    <w:p w:rsidR="00737D50" w:rsidRDefault="00737D50" w:rsidP="00737D50">
      <w:pPr>
        <w:spacing w:before="120"/>
        <w:ind w:firstLine="567"/>
        <w:jc w:val="both"/>
      </w:pPr>
      <w:r w:rsidRPr="0041011D">
        <w:t>Поскольку рассматриваемая льгота установлена пунктом 3 статьи 149 Налогового кодекса РФ, налогоплательщик вправе отказаться от ее применения. Такая возможность предусмотрена в пункте 5 статьи 149 Налогового кодекса РФ. Для этого компания должна представить в налоговую инспекцию заявление в произвольной форме. Документ подается не позднее 1 числа налогового периода, с которого фирма намерена отказаться от льготы.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D50"/>
    <w:rsid w:val="00002B5A"/>
    <w:rsid w:val="0010437E"/>
    <w:rsid w:val="001C40D7"/>
    <w:rsid w:val="00316F32"/>
    <w:rsid w:val="0041011D"/>
    <w:rsid w:val="004B468F"/>
    <w:rsid w:val="004E5A16"/>
    <w:rsid w:val="00616072"/>
    <w:rsid w:val="006A5004"/>
    <w:rsid w:val="00710178"/>
    <w:rsid w:val="00737D50"/>
    <w:rsid w:val="0081563E"/>
    <w:rsid w:val="008239AF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B791BF-D496-45FD-89C2-4EEEBA9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37D50"/>
    <w:rPr>
      <w:rFonts w:ascii="Verdana" w:hAnsi="Verdana" w:cs="Verdana"/>
      <w:color w:val="000000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не прогореть на рекламных расходах</vt:lpstr>
    </vt:vector>
  </TitlesOfParts>
  <Company>Home</Company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не прогореть на рекламных расходах</dc:title>
  <dc:subject/>
  <dc:creator>User</dc:creator>
  <cp:keywords/>
  <dc:description/>
  <cp:lastModifiedBy>admin</cp:lastModifiedBy>
  <cp:revision>2</cp:revision>
  <dcterms:created xsi:type="dcterms:W3CDTF">2014-02-15T01:08:00Z</dcterms:created>
  <dcterms:modified xsi:type="dcterms:W3CDTF">2014-02-15T01:08:00Z</dcterms:modified>
</cp:coreProperties>
</file>