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1F" w:rsidRPr="00CC4214" w:rsidRDefault="00967C1F" w:rsidP="00967C1F">
      <w:pPr>
        <w:spacing w:before="120"/>
        <w:jc w:val="center"/>
        <w:rPr>
          <w:b/>
          <w:sz w:val="32"/>
        </w:rPr>
      </w:pPr>
      <w:r w:rsidRPr="00CC4214">
        <w:rPr>
          <w:b/>
          <w:sz w:val="32"/>
        </w:rPr>
        <w:t>Как правильно выбрать провода для электропроводки и изготовить плавкий предохранитель</w:t>
      </w:r>
    </w:p>
    <w:p w:rsidR="00967C1F" w:rsidRDefault="00967C1F" w:rsidP="00967C1F">
      <w:pPr>
        <w:spacing w:before="120"/>
        <w:ind w:firstLine="567"/>
        <w:jc w:val="both"/>
      </w:pPr>
      <w:r w:rsidRPr="00AC313A">
        <w:t>Для правильного выбора сечения провода необходимо учитывать величину максимально потребляемого нагрузкой тока. Значения токов легко определить</w:t>
      </w:r>
      <w:r>
        <w:t xml:space="preserve">, </w:t>
      </w:r>
      <w:r w:rsidRPr="00AC313A">
        <w:t>зная паспортную мощность потребителей по формулам 1=Р/220 (например</w:t>
      </w:r>
      <w:r>
        <w:t xml:space="preserve">, </w:t>
      </w:r>
      <w:r w:rsidRPr="00AC313A">
        <w:t>для электрообогревателя мощностью 2000 Вт ток составит 9 А</w:t>
      </w:r>
      <w:r>
        <w:t xml:space="preserve">, </w:t>
      </w:r>
      <w:r w:rsidRPr="00AC313A">
        <w:t>для 60 Вт лампочки — 0</w:t>
      </w:r>
      <w:r>
        <w:t xml:space="preserve">, </w:t>
      </w:r>
      <w:r w:rsidRPr="00AC313A">
        <w:t xml:space="preserve">3 А). Зная суммарный ток всех потребителей и учитывая соотношения допустимой для провода токовой нагрузки (открытой проводки) на сечение провода: </w:t>
      </w:r>
    </w:p>
    <w:p w:rsidR="00967C1F" w:rsidRDefault="00967C1F" w:rsidP="00967C1F">
      <w:pPr>
        <w:spacing w:before="120"/>
        <w:ind w:firstLine="567"/>
        <w:jc w:val="both"/>
      </w:pPr>
      <w:r w:rsidRPr="00AC313A">
        <w:t>- для медного провода 10 ампер на миллиметр квадратный</w:t>
      </w:r>
      <w:r>
        <w:t xml:space="preserve">, </w:t>
      </w:r>
    </w:p>
    <w:p w:rsidR="00967C1F" w:rsidRDefault="00967C1F" w:rsidP="00967C1F">
      <w:pPr>
        <w:spacing w:before="120"/>
        <w:ind w:firstLine="567"/>
        <w:jc w:val="both"/>
      </w:pPr>
      <w:r w:rsidRPr="00AC313A">
        <w:t>- для алюминиевого 8 ампер на миллиметр квадратный</w:t>
      </w:r>
      <w:r>
        <w:t xml:space="preserve">, </w:t>
      </w:r>
      <w:r w:rsidRPr="00AC313A">
        <w:t>можно определить</w:t>
      </w:r>
      <w:r>
        <w:t xml:space="preserve">, </w:t>
      </w:r>
      <w:r w:rsidRPr="00AC313A">
        <w:t xml:space="preserve">подойдет ли имеющийся у вас провод или же необходимо покупать другой. При выборе типа провода нужно также учитывать допустимое напряжение пробоя изоляции (нельзя для электрической проводки на сетевое напряжение 220 В использовать провода от телефонной линии). </w:t>
      </w:r>
    </w:p>
    <w:p w:rsidR="00967C1F" w:rsidRDefault="00967C1F" w:rsidP="00967C1F">
      <w:pPr>
        <w:spacing w:before="120"/>
        <w:ind w:firstLine="567"/>
        <w:jc w:val="both"/>
      </w:pPr>
      <w:r w:rsidRPr="00AC313A">
        <w:t>При выполнении скрытой проводки (в трубке или же в стене) приведенные значения уменьшаются умножением на поправочный коэффициент 0</w:t>
      </w:r>
      <w:r>
        <w:t xml:space="preserve">, </w:t>
      </w:r>
      <w:r w:rsidRPr="00AC313A">
        <w:t xml:space="preserve">8. </w:t>
      </w:r>
    </w:p>
    <w:p w:rsidR="00967C1F" w:rsidRDefault="00967C1F" w:rsidP="00967C1F">
      <w:pPr>
        <w:spacing w:before="120"/>
        <w:ind w:firstLine="567"/>
        <w:jc w:val="both"/>
      </w:pPr>
      <w:r w:rsidRPr="00AC313A">
        <w:t>Следует отметить</w:t>
      </w:r>
      <w:r>
        <w:t xml:space="preserve">, </w:t>
      </w:r>
      <w:r w:rsidRPr="00AC313A">
        <w:t>что открытая проводка обычно выполняется проводом с сечением не менее 4 кв. мм из расчета достаточной механической прочности.</w:t>
      </w:r>
    </w:p>
    <w:p w:rsidR="00967C1F" w:rsidRPr="00AC313A" w:rsidRDefault="00967C1F" w:rsidP="00967C1F">
      <w:pPr>
        <w:spacing w:before="120"/>
        <w:ind w:firstLine="567"/>
        <w:jc w:val="both"/>
      </w:pPr>
      <w:r w:rsidRPr="00AC313A">
        <w:t>Приведенные выше соотношения легко запоминаются и обеспечивают достаточную точность для бытового использования проводов. Если требуется с большей точностью знать длительно допустимую токовую нагрузку для медных проводов и кабелей</w:t>
      </w:r>
      <w:r>
        <w:t xml:space="preserve">, </w:t>
      </w:r>
      <w:r w:rsidRPr="00AC313A">
        <w:t xml:space="preserve">то можно воспользоваться таблицей. </w:t>
      </w:r>
    </w:p>
    <w:tbl>
      <w:tblPr>
        <w:tblW w:w="6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6"/>
        <w:gridCol w:w="527"/>
        <w:gridCol w:w="527"/>
        <w:gridCol w:w="527"/>
        <w:gridCol w:w="527"/>
        <w:gridCol w:w="527"/>
        <w:gridCol w:w="527"/>
        <w:gridCol w:w="549"/>
        <w:gridCol w:w="549"/>
        <w:gridCol w:w="564"/>
      </w:tblGrid>
      <w:tr w:rsidR="00967C1F" w:rsidRPr="00AC313A" w:rsidTr="00B85233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>
              <w:t>х</w:t>
            </w:r>
            <w:r w:rsidRPr="00AC313A">
              <w:t>Сечение</w:t>
            </w:r>
            <w:r>
              <w:t xml:space="preserve">, </w:t>
            </w:r>
          </w:p>
          <w:p w:rsidR="00967C1F" w:rsidRPr="00AC313A" w:rsidRDefault="00967C1F" w:rsidP="00B85233">
            <w:r w:rsidRPr="00AC313A">
              <w:t xml:space="preserve">кв.мм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2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35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50</w:t>
            </w:r>
          </w:p>
        </w:tc>
      </w:tr>
      <w:tr w:rsidR="00967C1F" w:rsidRPr="00AC313A" w:rsidTr="00B85233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Ток</w:t>
            </w:r>
            <w:r>
              <w:t xml:space="preserve">, </w:t>
            </w:r>
            <w:r w:rsidRPr="00AC313A">
              <w:t>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35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42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60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80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170</w:t>
            </w:r>
          </w:p>
        </w:tc>
      </w:tr>
    </w:tbl>
    <w:p w:rsidR="00967C1F" w:rsidRDefault="00967C1F" w:rsidP="00967C1F">
      <w:pPr>
        <w:spacing w:before="120"/>
        <w:ind w:firstLine="567"/>
        <w:jc w:val="both"/>
      </w:pPr>
      <w:r w:rsidRPr="00AC313A">
        <w:t>При разведении цепей на вводе обязательно устанавливается общий выключатель и предохранители (плавкие вставки или электромеханические автоматы). Наиболее широко распространены в бытовых сетях плавкие предохранители</w:t>
      </w:r>
      <w:r>
        <w:t xml:space="preserve">, </w:t>
      </w:r>
      <w:r w:rsidRPr="00AC313A">
        <w:t xml:space="preserve">но при перегорании (в случае перегрузки цепи) возникают проблемы с их приобретением. </w:t>
      </w:r>
    </w:p>
    <w:p w:rsidR="00967C1F" w:rsidRDefault="00967C1F" w:rsidP="00967C1F">
      <w:pPr>
        <w:spacing w:before="120"/>
        <w:ind w:firstLine="567"/>
        <w:jc w:val="both"/>
      </w:pPr>
      <w:r w:rsidRPr="00AC313A">
        <w:t>Некоторые смелые люди выходят из затруднения временной заменой предохранителя на гвоздь или же выполняя из любого попавшего под руку провода перемычку. Со временем это забывается</w:t>
      </w:r>
      <w:r>
        <w:t xml:space="preserve">, </w:t>
      </w:r>
      <w:r w:rsidRPr="00AC313A">
        <w:t>а</w:t>
      </w:r>
      <w:r>
        <w:t xml:space="preserve">, </w:t>
      </w:r>
      <w:r w:rsidRPr="00AC313A">
        <w:t>как известно из народного опыта — нет ничего более постоянного</w:t>
      </w:r>
      <w:r>
        <w:t xml:space="preserve">, </w:t>
      </w:r>
      <w:r w:rsidRPr="00AC313A">
        <w:t>чем временное. В этом случае</w:t>
      </w:r>
      <w:r>
        <w:t xml:space="preserve">, </w:t>
      </w:r>
      <w:r w:rsidRPr="00AC313A">
        <w:t>при перегрузке</w:t>
      </w:r>
      <w:r>
        <w:t xml:space="preserve">, </w:t>
      </w:r>
      <w:r w:rsidRPr="00AC313A">
        <w:t xml:space="preserve">может загореться проводка. </w:t>
      </w:r>
    </w:p>
    <w:p w:rsidR="00967C1F" w:rsidRDefault="00967C1F" w:rsidP="00967C1F">
      <w:pPr>
        <w:spacing w:before="120"/>
        <w:ind w:firstLine="567"/>
        <w:jc w:val="both"/>
      </w:pPr>
      <w:r w:rsidRPr="00AC313A">
        <w:t>Чтобы этого не случилось</w:t>
      </w:r>
      <w:r>
        <w:t xml:space="preserve">, </w:t>
      </w:r>
      <w:r w:rsidRPr="00AC313A">
        <w:t>удобно воспользоваться упрощенной формулой</w:t>
      </w:r>
      <w:r>
        <w:t xml:space="preserve">, </w:t>
      </w:r>
      <w:r w:rsidRPr="00AC313A">
        <w:t xml:space="preserve">которая позволит правильно изготовить плавкий предохранитель на любой ток с достаточной точностью. </w:t>
      </w:r>
    </w:p>
    <w:p w:rsidR="00967C1F" w:rsidRDefault="00967C1F" w:rsidP="00967C1F">
      <w:pPr>
        <w:spacing w:before="120"/>
        <w:ind w:firstLine="567"/>
        <w:jc w:val="both"/>
      </w:pPr>
      <w:r w:rsidRPr="00AC313A">
        <w:t xml:space="preserve">Для одножильного медного провода ток защиты предохранителя определяется по упрощенной формуле: </w:t>
      </w:r>
    </w:p>
    <w:p w:rsidR="00967C1F" w:rsidRDefault="00597F94" w:rsidP="00967C1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9pt">
            <v:imagedata r:id="rId4" o:title=""/>
          </v:shape>
        </w:pict>
      </w:r>
      <w:r w:rsidR="00967C1F">
        <w:t xml:space="preserve">, </w:t>
      </w:r>
      <w:r w:rsidR="00967C1F" w:rsidRPr="00AC313A">
        <w:t xml:space="preserve">где d — диаметр провода в миллиметрах. </w:t>
      </w:r>
    </w:p>
    <w:p w:rsidR="00967C1F" w:rsidRPr="00AC313A" w:rsidRDefault="00967C1F" w:rsidP="00967C1F">
      <w:pPr>
        <w:spacing w:before="120"/>
        <w:ind w:firstLine="567"/>
        <w:jc w:val="both"/>
      </w:pPr>
      <w:r w:rsidRPr="00AC313A">
        <w:t>В таблице приведены результаты расчетов для некоторых часто используемых проводов.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2"/>
        <w:gridCol w:w="917"/>
        <w:gridCol w:w="916"/>
        <w:gridCol w:w="916"/>
        <w:gridCol w:w="916"/>
        <w:gridCol w:w="916"/>
        <w:gridCol w:w="984"/>
        <w:gridCol w:w="984"/>
        <w:gridCol w:w="1048"/>
        <w:gridCol w:w="999"/>
      </w:tblGrid>
      <w:tr w:rsidR="00967C1F" w:rsidRPr="00AC313A" w:rsidTr="00B85233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d</w:t>
            </w:r>
            <w:r>
              <w:t xml:space="preserve">, </w:t>
            </w:r>
            <w:r w:rsidRPr="00AC313A">
              <w:t>мм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06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09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12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25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3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0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</w:t>
            </w:r>
            <w:r>
              <w:t xml:space="preserve">, </w:t>
            </w:r>
            <w:r w:rsidRPr="00AC313A">
              <w:t>0</w:t>
            </w:r>
          </w:p>
        </w:tc>
      </w:tr>
      <w:tr w:rsidR="00967C1F" w:rsidRPr="00AC313A" w:rsidTr="00B85233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Iпр</w:t>
            </w:r>
            <w:r>
              <w:t xml:space="preserve">, </w:t>
            </w:r>
            <w:r w:rsidRPr="00AC313A">
              <w:t>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</w:t>
            </w:r>
            <w:r>
              <w:t xml:space="preserve">, </w:t>
            </w:r>
            <w:r w:rsidRPr="00AC313A"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2</w:t>
            </w:r>
            <w:r>
              <w:t xml:space="preserve">, </w:t>
            </w:r>
            <w:r w:rsidRPr="00AC313A">
              <w:t>16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2</w:t>
            </w:r>
            <w:r>
              <w:t xml:space="preserve">, </w:t>
            </w:r>
            <w:r w:rsidRPr="00AC313A">
              <w:t>53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3</w:t>
            </w:r>
            <w:r>
              <w:t xml:space="preserve">, </w:t>
            </w:r>
            <w:r w:rsidRPr="00AC313A">
              <w:t>32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7</w:t>
            </w:r>
            <w:r>
              <w:t xml:space="preserve">, </w:t>
            </w:r>
            <w:r w:rsidRPr="00AC313A">
              <w:t>16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13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28</w:t>
            </w:r>
            <w:r>
              <w:t xml:space="preserve">, </w:t>
            </w:r>
            <w:r w:rsidRPr="00AC313A">
              <w:t>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7C1F" w:rsidRPr="00AC313A" w:rsidRDefault="00967C1F" w:rsidP="00B85233">
            <w:r w:rsidRPr="00AC313A">
              <w:t>80</w:t>
            </w:r>
          </w:p>
        </w:tc>
      </w:tr>
    </w:tbl>
    <w:p w:rsidR="00967C1F" w:rsidRPr="00AC313A" w:rsidRDefault="00967C1F" w:rsidP="00967C1F">
      <w:pPr>
        <w:spacing w:before="120"/>
        <w:ind w:firstLine="567"/>
        <w:jc w:val="both"/>
      </w:pPr>
      <w:r w:rsidRPr="00AC313A">
        <w:t>Для изготовления предохранителя провод нужного диаметра можно взять из многожильных монтажных проводов</w:t>
      </w:r>
      <w:r>
        <w:t xml:space="preserve">, </w:t>
      </w:r>
      <w:r w:rsidRPr="00AC313A">
        <w:t>аккуратно сняв изоляцию.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C1F"/>
    <w:rsid w:val="00082E2E"/>
    <w:rsid w:val="001A35F6"/>
    <w:rsid w:val="00430092"/>
    <w:rsid w:val="004D5026"/>
    <w:rsid w:val="00561855"/>
    <w:rsid w:val="00597F94"/>
    <w:rsid w:val="006158CC"/>
    <w:rsid w:val="00811DD4"/>
    <w:rsid w:val="00967C1F"/>
    <w:rsid w:val="00AC313A"/>
    <w:rsid w:val="00B85233"/>
    <w:rsid w:val="00CC4214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4EC9C4D-99EA-434B-8C90-83A999D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7C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правильно выбрать провода для электропроводки и изготовить плавкий предохранитель</vt:lpstr>
    </vt:vector>
  </TitlesOfParts>
  <Company>Home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правильно выбрать провода для электропроводки и изготовить плавкий предохранитель</dc:title>
  <dc:subject/>
  <dc:creator>User</dc:creator>
  <cp:keywords/>
  <dc:description/>
  <cp:lastModifiedBy>admin</cp:lastModifiedBy>
  <cp:revision>2</cp:revision>
  <dcterms:created xsi:type="dcterms:W3CDTF">2014-03-28T15:37:00Z</dcterms:created>
  <dcterms:modified xsi:type="dcterms:W3CDTF">2014-03-28T15:37:00Z</dcterms:modified>
</cp:coreProperties>
</file>