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62" w:rsidRDefault="00324D62">
      <w:pPr>
        <w:jc w:val="both"/>
      </w:pPr>
      <w:r>
        <w:rPr>
          <w:b/>
        </w:rPr>
        <w:t>Как улучшить инвестиционный климат в России?</w:t>
      </w:r>
    </w:p>
    <w:p w:rsidR="00324D62" w:rsidRDefault="00324D62">
      <w:pPr>
        <w:jc w:val="both"/>
      </w:pPr>
      <w:r>
        <w:t>Ясин Евгений</w:t>
      </w:r>
      <w:r>
        <w:br/>
        <w:t>Астапович Александр</w:t>
      </w:r>
      <w:r>
        <w:br/>
        <w:t>Данилов Юрий</w:t>
      </w:r>
      <w:r>
        <w:br/>
        <w:t>Косыгина Анна</w:t>
      </w:r>
      <w:r>
        <w:br/>
      </w:r>
    </w:p>
    <w:p w:rsidR="00324D62" w:rsidRDefault="00324D62">
      <w:pPr>
        <w:jc w:val="both"/>
      </w:pPr>
      <w:r>
        <w:rPr>
          <w:b/>
        </w:rPr>
        <w:t>МЕРЫ НА БЛИЖАЙШУЮ ПЕРСПЕКТИВУ</w:t>
      </w:r>
    </w:p>
    <w:p w:rsidR="00324D62" w:rsidRDefault="00324D62">
      <w:pPr>
        <w:jc w:val="both"/>
      </w:pPr>
      <w:r>
        <w:br/>
      </w:r>
      <w:r>
        <w:rPr>
          <w:b/>
        </w:rPr>
        <w:t>Макроэкономика</w:t>
      </w:r>
      <w:r>
        <w:br/>
        <w:t>Необходимыми предпосылками инвестиционной деятельности являются низкий уровень инфляции, равно как и предсказуемость поведения цен в экономике.</w:t>
      </w:r>
      <w:r>
        <w:br/>
        <w:t>Требуется ужесточение контроля за доходами и расходами бюджета, завершение в кратчайшие сроки создания централизованной казначейской системы исполнения бюджета.</w:t>
      </w:r>
      <w:r>
        <w:br/>
      </w:r>
      <w:r>
        <w:rPr>
          <w:b/>
        </w:rPr>
        <w:t>Налоги</w:t>
      </w:r>
      <w:r>
        <w:br/>
        <w:t xml:space="preserve">Представляется, что </w:t>
      </w:r>
      <w:r>
        <w:rPr>
          <w:b/>
        </w:rPr>
        <w:t>простая, понятная система налогообложения</w:t>
      </w:r>
      <w:r>
        <w:t xml:space="preserve"> удовлетворяла бы чаяниям налогоплательщиков и позволяла бы соблюсти государственные интересы.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Необходимо скорейшее введение в действие части II Налогового кодекса, где предусмотрена реальная отмена большинства налогов с оборота и сужена база налога на прибыль. Налогообложение физических лиц, фонда заработной платы и прибыли и учет возникающих разниц при конвертации из одной валюты в другую нуждаются в дальнейшей рационализации для снижения привлекательности увода доходов из-под налогообложения.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Верхнюю ставку подоходного налога надо понизить хотя бы до 30%; в более длительном периоде целесообразно снижение числа ставок до двух или одной, причем верхний уровень изъятий понизить до 20%. Необлагаемый минимум следует определять исходя из расчета реального прожиточного минимума. Целесообразно разрешить вычитать из налогооблагаемой базы расходы на профессиональное образование и повышение квалификации.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Необходимо существенно уменьшить ставку совокупных отчислений в социальные фонды, доведя совокупные отчисления от фонда заработной платы (взносы в социальные фонды) хотя бы до 30%.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Должны быть пересмотрены и резко сокращены налоговые и таможенные льготы, а их предоставление должно носить не индивидуальный, а формализованный характер.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Для того чтобы налоговый инвестиционный кредит, налоговые каникулы действительно использовались на инвестиции в перевооружение производства, положение о предоставлении этой льготы должно быть конкретизировано.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Требуется реальная жесткая регламентация перечня налогов, которые могут вводить субъекты Федерации и местные органы власти, а также ограничение суммарного налогового бремени по этим налогам.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Важно прекратить практику хаотичного внесения поправок в налоговое законодательство, увеличив период действия стабильных правил хотя бы до года. Поправки, ухудшающие положение налогоплательщиков, должны вноситься строго в соответствии с регламентом, предписанным законодательством.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Улучшить информирование налогоплательщиков, сократить возможности сотрудников фискальных служб произвольно толковать неопределенные положения налогового законодательства. </w:t>
      </w:r>
    </w:p>
    <w:p w:rsidR="00324D62" w:rsidRDefault="00324D62">
      <w:pPr>
        <w:jc w:val="both"/>
      </w:pPr>
      <w:r>
        <w:br/>
      </w:r>
      <w:r>
        <w:rPr>
          <w:b/>
        </w:rPr>
        <w:t>Банки и финансовая система</w:t>
      </w:r>
      <w:r>
        <w:br/>
        <w:t xml:space="preserve">В кратчайшие сроки нужно </w:t>
      </w:r>
      <w:r>
        <w:rPr>
          <w:b/>
        </w:rPr>
        <w:t>реализовать программу реструктуризации банковской системы: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банкротство несостоятельных коммерческих банков, недопущение их деятельности после отзыва лицензии;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создание благоприятных условий для увеличения присутствия в России иностранных банков;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повышение прозрачности банковской системы, совершенствование системы банковского надзора, предупреждения банкротств банков, стимулирование повышения квалификации банковских менеджеров, завершение введения новой системы бухучета, базирующейся на международных принципах;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Центральный банк должен впредь воздерживаться от выдачи лицензии банкам, возглавляемым бывшими управляющими неплатежеспособных банков (а также банкам, в которых крупный пакет принадлежит владельцам неплатежеспособных банков), до тех пор пока эти банки не осуществят выплаты по долгам;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ускорить принятие закона о гарантиях вкладов граждан. </w:t>
      </w:r>
    </w:p>
    <w:p w:rsidR="00324D62" w:rsidRDefault="00324D62">
      <w:pPr>
        <w:jc w:val="both"/>
      </w:pPr>
      <w:r>
        <w:br/>
      </w:r>
      <w:r>
        <w:rPr>
          <w:b/>
        </w:rPr>
        <w:t>Внешнеэкономическая и таможенная политика</w:t>
      </w:r>
      <w:r>
        <w:br/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Активизировать усилия по вступлению в ВТО, а также работу по связанной с этим коррекции законодательства. </w:t>
      </w:r>
      <w:r>
        <w:rPr>
          <w:b/>
        </w:rPr>
        <w:t>Новые акты, затрагивающие сферу внешней торговли и таможенного режима, следует разрабатывать с учетом требований ВТО.</w:t>
      </w:r>
      <w:r>
        <w:t xml:space="preserve">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Упростить порядок таможенного регулирования в отношении товаров, ввозимых на территорию России в режиме временного ввоза. Также необходимо упростить порядок, регламентирующий процедуру и количество согласований, лицензий и выдачи технических условий на реализацию инвестиционных проектов.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Ускорить создание зоны свободной торговли со странами СНГ. </w:t>
      </w:r>
    </w:p>
    <w:p w:rsidR="00324D62" w:rsidRDefault="00324D62">
      <w:pPr>
        <w:jc w:val="both"/>
      </w:pPr>
      <w:r>
        <w:br/>
        <w:t>В методике начисления НДС для конечной продукции целесообразно как можно скорее перейти на мировую практику: облагать экспорт по нулевой ставке. Для сырья и энергоносителей предпочтительно временно сохранить существующий порядок начисления НДС.</w:t>
      </w:r>
      <w:r>
        <w:br/>
        <w:t>Существенного совершенствования требует валютное регулирование. В этой части необходимы следующие меры: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отменить лицензирование ввоза иностранного капитала на территорию России;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ввести уведомительный порядок регистрации иностранных инвестиций (в том числе валютных операций, связанных с движением капитала), кроме изъятий, установленных законодательно;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упростить выдачу налоговых кредитов и освобождений. </w:t>
      </w:r>
    </w:p>
    <w:p w:rsidR="00324D62" w:rsidRDefault="00324D62">
      <w:pPr>
        <w:jc w:val="both"/>
      </w:pPr>
      <w:r>
        <w:br/>
      </w:r>
      <w:r>
        <w:rPr>
          <w:b/>
        </w:rPr>
        <w:t>ТЭК</w:t>
      </w:r>
      <w:r>
        <w:br/>
        <w:t xml:space="preserve">Принятие нормативных актов по СРП находится в компетенции Правительства России. Существенно важно, чтобы эти нормативные акты создали такой режим СРП, который позволит России конкурировать с другими энергодобывающими странами в области дефицитного инвестиционного капитала. </w:t>
      </w:r>
      <w:r>
        <w:br/>
        <w:t xml:space="preserve">Необходимо внести изменения в закон &lt;О газоснабжении в Российской Федерации&gt; для сокращения ограничений на инвестиции. Инвесторы, прокладывающие новые трубопроводы за счет частного капитала, должны иметь возможность определять тарифы и порядок доступа к ним. </w:t>
      </w:r>
      <w:r>
        <w:br/>
      </w:r>
      <w:r>
        <w:rPr>
          <w:b/>
        </w:rPr>
        <w:t>Защита прав собственности</w:t>
      </w:r>
      <w:r>
        <w:br/>
        <w:t xml:space="preserve">1. Необходимо создать прецеденты пресечения действий мажоритарных инвесторов и менеджеров компаний по ущемлению прав собственности в отношении меньшинства акционеров, а также </w:t>
      </w:r>
      <w:r>
        <w:rPr>
          <w:b/>
        </w:rPr>
        <w:t>внести соответствующие изменения в закон &lt;Об акционерных обществах&gt;,</w:t>
      </w:r>
      <w:r>
        <w:t xml:space="preserve"> исключающие злоупотребления со стороны большинства инвесторов и совета директоров.</w:t>
      </w:r>
      <w:r>
        <w:br/>
        <w:t>2. Законодательно расширить права меньшинства акционеров и аутсайдеров, особенно в вопросах доступа к информации, организации собраний акционеров и представительства в совете директоров.</w:t>
      </w:r>
      <w:r>
        <w:br/>
        <w:t>3. Необходимо ввести дополнительные меры защиты добросовестных приобретателей ценных бумаг от действий органов власти. Недопустимо признавать ценные бумаги недействительными, если отчет об итогах выпуска данных бумаг прошел в установленном порядке регистрацию в соответствующем регистрирующем органе. Недопустимо налагать арест на ценные бумаги, приобретенные добросовестным приобретателем, даже если один из предыдущих переходов прав собственности произошел с нарушением законодательства, иначе за ошибки регистрирующих органов будут нести ответственность инвесторы.</w:t>
      </w:r>
      <w:r>
        <w:br/>
        <w:t>4. Стимулировать создание компенсационных фондов профессиональными участниками рынка ценных бумаг и саморегулируемыми организациями, за счет средств которых компенсировались бы потери инвесторов, возникшие по вине инфраструктурных институтов.</w:t>
      </w:r>
      <w:r>
        <w:br/>
        <w:t>5. Срочно доработать правовые основы мероприятий, связанных с банкротством предприятий.</w:t>
      </w:r>
      <w:r>
        <w:br/>
        <w:t>6. Ужесточить уголовную и административную ответственность за действия (или бездействия), приводящие к нарушению интересов инвесторов, в первую очередь прямых иностранных инвесторов. Практика показывает, что во многих случаях неотвратимость - более действенная угроза, чем степень тяжести возможного наказания.</w:t>
      </w:r>
      <w:r>
        <w:br/>
        <w:t>7. Уделить особое внимание защите прав интеллектуальной собственности. Требуется не только защищать зарегистрированные торговые марки, выданные патенты, осуществлять защиту от подделки продукции, но и ввести преследование за подражание названию, цвету, дизайну, как это предусмотрено законодательством. Требуется повысить эффективность деятельности правоохранительных органов в этой сфере.</w:t>
      </w:r>
      <w:r>
        <w:br/>
      </w:r>
      <w:r>
        <w:rPr>
          <w:b/>
        </w:rPr>
        <w:t>Свобода входа на рынок</w:t>
      </w:r>
      <w:r>
        <w:br/>
      </w:r>
      <w:r>
        <w:rPr>
          <w:b/>
        </w:rPr>
        <w:t xml:space="preserve">Необходимо упростить процедуры по организации бизнеса. </w:t>
      </w:r>
      <w:r>
        <w:br/>
        <w:t xml:space="preserve">В настоящий момент требуются резолюция 20-30 автономных и дислоцированных в разных местах инстанций и от 50 до 90 разрешительных документов. Надо создать технологию, базирующуюся на принципе &lt;одного окна&gt;, когда предпринимателю достаточно обратиться в одну инстанцию и за относительно короткий отрезок времени, исчисляемый несколькими днями, получить разрешение или четко аргументированный отказ. Одновременно требуется создание независимого института для апелляций. Конечно, для внедрения подобной процедуры потребуется </w:t>
      </w:r>
      <w:r>
        <w:rPr>
          <w:b/>
        </w:rPr>
        <w:t>изменение местных законодательных актов.</w:t>
      </w:r>
      <w:r>
        <w:br/>
        <w:t>Барьеры входа на рынок должны быть прозрачны, предприниматель должен точно представлять, сколько ему потребуется инвестировать для того, чтобы открыть дело. В частности, требуется принятие закона о регистрации юридических лиц.</w:t>
      </w:r>
      <w:r>
        <w:br/>
      </w:r>
      <w:r>
        <w:rPr>
          <w:b/>
        </w:rPr>
        <w:t>Борьба с коррупцией</w:t>
      </w:r>
      <w:r>
        <w:br/>
        <w:t xml:space="preserve">В условиях России </w:t>
      </w:r>
      <w:r>
        <w:rPr>
          <w:b/>
        </w:rPr>
        <w:t>наиболее эффектным путем сокращения масштабов коррупции является дальнейшая либерализация,</w:t>
      </w:r>
      <w:r>
        <w:t xml:space="preserve"> ограничение возможностей вмешательства чиновников в хозяйственные процессы, сокращение сфер администрирования и регулирования. Там же, где они необходимы, должны быть разработаны предельно простые и прозрачные процедуры исполнения административных функций, а также контроля над их исполнителями.</w:t>
      </w:r>
      <w:r>
        <w:br/>
        <w:t>Необходимо последовательно устранять неопределенность и противоречивость в законодательстве, оставляющие возможности разных толкований и связанных с ними злоупотреблений.</w:t>
      </w:r>
      <w:r>
        <w:br/>
        <w:t>Основные направления этой работы в ближайшее время: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сокращение числа лицензируемых видов деятельности;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перестройка системы государственных закупок на исключительно конкурсной основе;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активное сотрудничество российских правоохранительных и судебных органов с органами других стран;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анализ административного законодательства для выявления противоречий и потенциальных конфликтов интересов разных ведомств. </w:t>
      </w:r>
    </w:p>
    <w:p w:rsidR="00324D62" w:rsidRDefault="00324D62">
      <w:pPr>
        <w:jc w:val="both"/>
      </w:pPr>
      <w:r>
        <w:br/>
        <w:t>Следует рассмотреть вопрос о законодательном введении запрета на профессии в отношении руководителей и сотрудников органов власти, уличенных в коррупции.</w:t>
      </w:r>
      <w:r>
        <w:br/>
      </w:r>
      <w:r>
        <w:rPr>
          <w:b/>
        </w:rPr>
        <w:t>Бухгалтерский учет</w:t>
      </w:r>
      <w:r>
        <w:br/>
        <w:t xml:space="preserve">Надо стремиться говорить с миром на понятном языке. Для бизнеса - это </w:t>
      </w:r>
      <w:r>
        <w:rPr>
          <w:b/>
        </w:rPr>
        <w:t>язык финансовых стандартов,</w:t>
      </w:r>
      <w:r>
        <w:t xml:space="preserve"> где уровень прозрачности, полноты и достоверности отчетности, а также оперативность ее предоставления влияют на степень доверия инвесторов.</w:t>
      </w:r>
      <w:r>
        <w:br/>
        <w:t>Необходимо принимать срочные меры как в плане повышения качества работы над российскими стандартами учета, так и в плане организации контроля над процессом разработки и принятия стандартов. В этой связи необходимо: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Пересмотреть состав и полномочия Межведомственной комиссии по реформе бухгалтерского учета и финансовой отчетности (далее - Комиссия).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Предложить Международному центру по реформе системы бухгалтерского учета провести срочную экспертизу принятых нормативных документов с целью выявления несоответствия данных документов международным стандартам;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Поручить Комиссии пересмотреть уже принятые положения по бухгалтерскому учету в соответствии с результатами их экспертизы. Обязать Комиссию рассматривать подготовленные проекты положений бухгалтерского учета только при наличии соответствующих положительных заключений международных экспертов (Комитета по МСФО, МЦРСБУ).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Повысить роль института профессиональных бухгалтеров. </w:t>
      </w:r>
    </w:p>
    <w:p w:rsidR="00324D62" w:rsidRDefault="00324D62">
      <w:pPr>
        <w:jc w:val="both"/>
      </w:pPr>
      <w:r>
        <w:t>Необходимо срочно рассмотреть вопрос о возможных источниках финансирования мероприятий по переходу на международные стандарты, в частности, о возможности привлечения средств международных организаций-доноров.</w:t>
      </w:r>
      <w:r>
        <w:br/>
      </w:r>
      <w:r>
        <w:rPr>
          <w:b/>
        </w:rPr>
        <w:t>Краткосрочные меры по сокращению неплатежей</w:t>
      </w:r>
      <w:r>
        <w:br/>
        <w:t>Для сокращения накопленной задолженности необходимо проводить &lt;политику кнута и пряника&gt; по отношению к предприятиям-дебиторам и к предприятиям-кредиторам. Предусмотреть разный налоговый режим для текущей и просроченной задолженностей; предусмотреть сокращение при определенных условиях де-еспособности предприятий; облегчить возможности замены менеджеров в случае их неэффективной работы по сокращению накопленной задолженности. Необходимо обеспечить контроль за своевременным переводом безнадежных долгов в разряд убытков.</w:t>
      </w:r>
      <w:r>
        <w:br/>
        <w:t>Государство должно содействовать созданию необходимой инфраструктуры, для того чтобы предприятия могли эффективно урегулировать проблему просроченной задолженности. Необходимо стимулировать создание региональных операторов урегулирования задолженности.</w:t>
      </w:r>
      <w:r>
        <w:br/>
        <w:t>Необходимо усилить роль Федерального долгового центра в процессе организации публичных торгов просроченной дебиторской задолженностью, расширить его полномочия в вопросе инициирования процедуры банкротства в отношении отдельных предприятий. При этом существенным инструментом воздействия на предприятия должна стать возможность секьюритизации его долгов. Следует резко повысить прозрачность и организованность рынка долгов российских предприятий, привлекая тем самым на этот рынок финансовые учреждения, которые могли бы активно финансировать расшивку цепочек неплатежей.</w:t>
      </w:r>
    </w:p>
    <w:p w:rsidR="00324D62" w:rsidRDefault="00324D62">
      <w:pPr>
        <w:jc w:val="both"/>
      </w:pPr>
      <w:r>
        <w:rPr>
          <w:b/>
        </w:rPr>
        <w:t>МЕРЫ НА СРЕДНЕ- И ДОЛГОСРОЧНУЮ ПЕРСПЕКТИВУ</w:t>
      </w:r>
    </w:p>
    <w:p w:rsidR="00324D62" w:rsidRDefault="00324D62">
      <w:pPr>
        <w:jc w:val="both"/>
      </w:pPr>
      <w:r>
        <w:br/>
        <w:t xml:space="preserve">Здесь речь идет о мерах, которые по разным причинам не удастся реализовать до конца 2000 г. Это, скорее, </w:t>
      </w:r>
      <w:r>
        <w:rPr>
          <w:b/>
        </w:rPr>
        <w:t>направления работы, которые предстоит конкретизировать в будущем.</w:t>
      </w:r>
      <w:r>
        <w:br/>
      </w:r>
      <w:r>
        <w:rPr>
          <w:b/>
        </w:rPr>
        <w:t>Структурные реформы</w:t>
      </w:r>
      <w:r>
        <w:br/>
      </w:r>
      <w:r>
        <w:rPr>
          <w:b/>
        </w:rPr>
        <w:t>Неэффективные предприятия не должны поддерживаться государством и местными властями</w:t>
      </w:r>
      <w:r>
        <w:t xml:space="preserve"> ни прямо, ни косвенно. Должно сокращаться перекрестное субсидирование. Напротив, </w:t>
      </w:r>
      <w:r>
        <w:rPr>
          <w:b/>
        </w:rPr>
        <w:t>предпочтение должно оказываться сильным, более эффективным компаниям,</w:t>
      </w:r>
      <w:r>
        <w:t xml:space="preserve"> чтобы ускорить процесс обновления экономики.</w:t>
      </w:r>
      <w:r>
        <w:br/>
        <w:t>По сути, важнейшими составляющими структурных реформ являются: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защита прав собственности;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укрепление корпоративного управления;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усиление дисциплины исполнения контрактов;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развитие банковской системы и институтов финансового рынка;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реформирование естественных монополий;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проведение земельной реформы. </w:t>
      </w:r>
    </w:p>
    <w:p w:rsidR="00324D62" w:rsidRDefault="00324D62">
      <w:pPr>
        <w:jc w:val="both"/>
      </w:pPr>
      <w:r>
        <w:br/>
        <w:t xml:space="preserve">Дальнейшие структурные реформы потребуют существенного </w:t>
      </w:r>
      <w:r>
        <w:rPr>
          <w:b/>
        </w:rPr>
        <w:t>совершенствования законодательного обеспечения.</w:t>
      </w:r>
      <w:r>
        <w:t xml:space="preserve"> На сегодняшний день законопослушное поведение для инвестора нерационально, поэтому, несмотря на очевидные достижения, законодательство следует менять. В части регулирования инвестиционной деятельности такое совершенствование требуется провести по трем основным направлениям.</w:t>
      </w:r>
      <w:r>
        <w:br/>
        <w:t xml:space="preserve">Первое. Следует устранить противоречивость и дублирование трех основных законов - &lt;Об инвестиционной деятельности в Российской Федерации&gt;, &lt;Об иностранных инвестициях в Российской Федерации&gt;, &lt;Об осуществлении инвестиций в форме капитальных вложений&gt;, регламентирующих инвестиции, для чего, может быть, следует принять </w:t>
      </w:r>
      <w:r>
        <w:rPr>
          <w:b/>
        </w:rPr>
        <w:t>единый</w:t>
      </w:r>
      <w:r>
        <w:t xml:space="preserve"> закон об инвестициях.</w:t>
      </w:r>
      <w:r>
        <w:br/>
        <w:t>Также следует устранить противоречия между законодательными актами, регламентирующими различные аспекты хозяйственной деятельности. В частности, необходимо гармонизировать положения федерального закона &lt;О соглашениях о разделе продукции&gt; и положения Налогового кодекса.</w:t>
      </w:r>
      <w:r>
        <w:br/>
        <w:t>Второе. Необходимо содействовать развитию различных форм организаций производителей (ассоциаций, союзов), вырабатывающих стандарты и правила корпоративного поведения.</w:t>
      </w:r>
      <w:r>
        <w:br/>
        <w:t>Требуется разработка законодательства, полностью регулирующего создание и деятельность холдинговых компаний. Необходимо привести в соответствие с мировыми стандартами систему налогообложения внутри холдингов.</w:t>
      </w:r>
      <w:r>
        <w:br/>
        <w:t>Необходимо создать полноценную инвестиционную инфраструктуру, прежде всего распределительную и накопительную системы: банки, страховые компании, паевые и пенсионные фонды, фондовый рынок и т.д. Инвесторам необходимо дать возможность управлять рисками, для чего требуется предоставить им адекватные финансовые инструменты. Следует стимулировать развитие фьючерсных и опционных рынков, на которых инвесторы могли бы хеджировать рыночные риски.</w:t>
      </w:r>
      <w:r>
        <w:br/>
        <w:t>Третье. Нельзя далее откладывать принятие нового Земельного кодекса. Для серьезного долгосрочного инвестора вопрос собственности на землю является принципиальным. Если земельный участок, на котором инвестор предполагает построить предприятие, ему не принадлежит, а лишь передан в пользование, то при принятии решений об инвестировании в расчет принимается высокий уровень риска прекращения пользования данным участком. Напротив, если земельный участок находится в собственности инвестора, то этот инвестор будет инвестировать в более крупных объемах, имея уверенность в отсутствии ограничений на предпринимательство со стороны собственника земли. Поэтому необходимо всячески стимулировать принятие решения о введении частной собственности на землю.</w:t>
      </w:r>
      <w:r>
        <w:br/>
        <w:t>Следует рассмотреть вопрос о возможности погашения долговых обязательств Правительства России за счет собственности, в том числе привлекательных земельных участков. Тем самым мы решим часть проблем, связанных с государственным долгом, а также создадим существенную прослойку инвесторов, заинтересованных в осуществлении дополнительных инвестиций в полученную недвижимость.</w:t>
      </w:r>
      <w:r>
        <w:br/>
      </w:r>
      <w:r>
        <w:rPr>
          <w:b/>
        </w:rPr>
        <w:t>Укрепление институтов государственной власти</w:t>
      </w:r>
      <w:r>
        <w:br/>
        <w:t xml:space="preserve">Важнейшее направление перспективных действий по улучшению инвестиционного климата - </w:t>
      </w:r>
      <w:r>
        <w:rPr>
          <w:b/>
        </w:rPr>
        <w:t>преодоление слабости государства.</w:t>
      </w:r>
      <w:r>
        <w:t xml:space="preserve"> Тут необходимы следующие меры: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осуществление судебной реформы с целью обеспечения независимости судов, увеличения эффективности и пропускной способности судебной системы; укрепление федерализма путем более четкого разграничения прав и ответственности между федеральным центром и регионами, обеспечения исполнения федеральных законов. </w:t>
      </w:r>
    </w:p>
    <w:p w:rsidR="00324D62" w:rsidRDefault="00324D62">
      <w:pPr>
        <w:jc w:val="both"/>
      </w:pPr>
      <w:r>
        <w:br/>
      </w:r>
      <w:r>
        <w:rPr>
          <w:b/>
        </w:rPr>
        <w:t>Эффективная судебная система</w:t>
      </w:r>
      <w:r>
        <w:t xml:space="preserve"> важна как для выполнения контрактных обязательств, так и для реализации остаточных прав собственности. Это определенно свидетельствует о необходимости финансирования судебной системы в полном объеме, нужной для полноценной работы судов, для снижения возможностей местной исполнительной власти по шантажу судебных органов. </w:t>
      </w:r>
      <w:r>
        <w:br/>
        <w:t xml:space="preserve">Для этого необходимо предусмотреть финансирование судебной системы исключительно за счет средств федерального бюджета. Требуется специализация судопроизводства по направлениям, требующим специальной профессиональной подготовки судей. Очевидно, что </w:t>
      </w:r>
      <w:r>
        <w:rPr>
          <w:b/>
        </w:rPr>
        <w:t xml:space="preserve">систему госуправления необходимо сделать современной. </w:t>
      </w:r>
      <w:r>
        <w:br/>
        <w:t xml:space="preserve">Необходимо произвести разделение государственного аппарата по функциональному принципу: структуры, занимающиеся производством благ (оказанием услуг), должны быть отделены от регулятивных ор-ганов, а политические подразделения - от технологических. В частности, Минатом и МПС должны быть реорганизованы в государственные компании или агентства. Во всех естественных монополиях должны быть выделены в независимые компании те технологические сегменты, которые позволяют организовать конкурентную среду, и те хозяйственные подразделения, которые не связаны непосредственно с производством. Производство услуг, для которых участие государства не является обязательным фактором, должно передаваться в частный сектор, где производитель определяется на открытом конкурсе. </w:t>
      </w:r>
      <w:r>
        <w:br/>
        <w:t>Структура государственных органов должна формироваться под выполнение конкретных функций и задач, а не по принципу заполнения штатного расписания.</w:t>
      </w:r>
      <w:r>
        <w:br/>
        <w:t>Технологические позиции следует заполнять на основе открытых конкурсов, с равным правом участия граждан независимо от прежнего опыта работы в госаппарате. Продвижение по службе также должно осуществляться на базе открытых конкурсов.</w:t>
      </w:r>
      <w:r>
        <w:br/>
        <w:t>Для координирования кадровой политики, набора кадров и мониторинга рынка труда необходимо создание федеральной кадровой службы.</w:t>
      </w:r>
      <w:r>
        <w:br/>
        <w:t>Необходимо четко регламентировать полномочия регуляторов рынка в отношении санкций к правонарушителям. Создание эффективных механизмов снимет остроту и количество спорных ситуаций, так как определенность и неотвратимость наказания делают бессмысленным продолжение конфликта.</w:t>
      </w:r>
      <w:r>
        <w:br/>
        <w:t>Между собой регулятивные органы должны быть связаны в структуру с прозрачной иерархией с четко сформулированными критериями взаимодействия и отношений с объектами регулирования.</w:t>
      </w:r>
      <w:r>
        <w:br/>
        <w:t xml:space="preserve">Правительство должно демонстрировать готовность решать проблемы, наиболее привлекающие внимание инвесторов: защиту прав собственности (в том числе и интеллектуальной), выполнение контрактных обязательств. </w:t>
      </w:r>
      <w:r>
        <w:br/>
        <w:t>Следует рассмотреть вопрос о создании правовых основ для введения федерального (президентского) правления на территории тех субъектов Федерации, которые противодействуют исполнению федеральных законов, вводят в действие местные законы, противоречащие российскому законодательству, осуществляют другие действия, ставящие под угрозу целостность Российской Федерации. Одновременно необходимо разработать процедуру банкротства отдельных субъектов Федерации и муниципальных образований, не отвечающих по своим обязательствам, которые бы также предусматривали возможность введения внешнего управления на соответствующих территориях.</w:t>
      </w:r>
      <w:r>
        <w:br/>
        <w:t>Необходимо принятие закона о порядке привлечения к уголовной ответственности и отстранения от должности губернаторов, выбираемых руководителей регионов в случае грубого нарушения федерального законодательства. Аналогичные меры требуются в случае доведения субъекта Федерации до состояния банкротства или потенциальной неплатежеспособности.</w:t>
      </w:r>
      <w:r>
        <w:br/>
        <w:t xml:space="preserve">Для обеспечения эффективной деятельности вертикали исполнительной власти потребовать от субъектов Федерации привести свое законодательство в соответствие с федеральным и четко разграничить полномочия с органами местного самоуправления. </w:t>
      </w:r>
      <w:r>
        <w:br/>
        <w:t>Среди мероприятий, направленных на борьбу с коррупцией, в среднесрочной перспективе следует выделить следующие: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формирование межведомственной антикоррупционной структуры;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разработка антикоррупционных программ на муниципальном и региональном уровнях, объединяя их в федеральную программу;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взаимодействие с предпринимательским сообществом России, профессиональными организациями и международными антикоррупционными структурами и разработка акций при их участии; подписание международных антикоррупционных конвенций;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принятие закона об основаниях и условиях передачи чиновниками в трастовое управление принадлежащей им собственности и другие мероприятия. </w:t>
      </w:r>
    </w:p>
    <w:p w:rsidR="00324D62" w:rsidRDefault="00324D62">
      <w:pPr>
        <w:jc w:val="both"/>
      </w:pPr>
      <w:r>
        <w:br/>
      </w:r>
      <w:r>
        <w:rPr>
          <w:b/>
        </w:rPr>
        <w:t>Финансы и государственный долг</w:t>
      </w:r>
      <w:r>
        <w:br/>
        <w:t xml:space="preserve">Долгосрочная бюджетная политика должна строиться исходя из того, что </w:t>
      </w:r>
      <w:r>
        <w:rPr>
          <w:b/>
        </w:rPr>
        <w:t>для достижения высоких темпов развития экономики государственные расходы</w:t>
      </w:r>
      <w:r>
        <w:t xml:space="preserve"> (расходы расширенного правительства) не должны превышать 25-30% ВВП. При этом будет возможность снижать налоговое бремя, стимулировать частные сбережения и инвестиции.</w:t>
      </w:r>
      <w:r>
        <w:br/>
        <w:t>Прежде всего необходимо достигнуть всеобъемлющего урегулирования государственного долга.</w:t>
      </w:r>
      <w:r>
        <w:br/>
        <w:t>Требуется срочное создание современной системы управления государственным долгом, которая учитывала бы временную структуру обязательств, возможные источники их покрытия, способность экономики обслуживать долг, текущую конъюнктуру рынка, а также оптимизацию соотношения между внутренним и внешним долгом.</w:t>
      </w:r>
      <w:r>
        <w:br/>
        <w:t>Необходима законодательная конкретизация правовых норм, регламентирующих заимствования государства. Требуется установить более жесткие и конкретные, чем в Бюджетном кодексе и законах о бюджете, ограничения по заимствованиям государством, в том числе: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 объему эмиссии государственных ценных бумаг и выпуску иных обязательств;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 объему выдаваемых государственных гарантий;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 доходности государственных ценных бумаг; </w:t>
      </w:r>
    </w:p>
    <w:p w:rsidR="00324D62" w:rsidRDefault="00324D62">
      <w:pPr>
        <w:numPr>
          <w:ilvl w:val="0"/>
          <w:numId w:val="1"/>
        </w:numPr>
        <w:jc w:val="both"/>
      </w:pPr>
      <w:r>
        <w:t xml:space="preserve">по объему выдаваемых за счет средств бюджетов всех уровней государственных гарантий. </w:t>
      </w:r>
    </w:p>
    <w:p w:rsidR="00324D62" w:rsidRDefault="00324D62">
      <w:pPr>
        <w:jc w:val="both"/>
      </w:pPr>
      <w:r>
        <w:t>Одновременно следует повысить уровень обеспечения государственных ценных бумаг, снизив тем самым риск инвестиций. В этом направлении, во-первых, необходимо осуществить переход функций эмитента государственных ценных бумаг от Министерства финансов РФ к создаваемому Казначейству, ценные бумаги которого были бы обеспечены конкретным имуществом Казначейства; во-вторых, необходимо создать четкую и эффективную систему обращения взысканий на государственное имущество в случае неисполнения государством своих обязательств по займам.</w:t>
      </w:r>
      <w:r>
        <w:br/>
        <w:t>Экономике необходимы жесткая бюджетная политика, сведение федерального бюджета в течение трех-четырех лет с первичным профицитом в 3-3,5% ВВП.</w:t>
      </w:r>
    </w:p>
    <w:p w:rsidR="00324D62" w:rsidRDefault="00324D62">
      <w:pPr>
        <w:jc w:val="both"/>
      </w:pPr>
      <w:bookmarkStart w:id="0" w:name="_GoBack"/>
      <w:bookmarkEnd w:id="0"/>
    </w:p>
    <w:sectPr w:rsidR="00324D62">
      <w:pgSz w:w="11906" w:h="16838"/>
      <w:pgMar w:top="340" w:right="624" w:bottom="726" w:left="62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D04"/>
    <w:rsid w:val="00324D62"/>
    <w:rsid w:val="007D46FB"/>
    <w:rsid w:val="009F3D04"/>
    <w:rsid w:val="00D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C117-9412-4CDF-9F09-0D86CBD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улучшить инвестиционный климат в России</vt:lpstr>
    </vt:vector>
  </TitlesOfParts>
  <Company> </Company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улучшить инвестиционный климат в России</dc:title>
  <dc:subject/>
  <dc:creator>Почекутов Максим Павлович</dc:creator>
  <cp:keywords/>
  <dc:description/>
  <cp:lastModifiedBy>Irina</cp:lastModifiedBy>
  <cp:revision>2</cp:revision>
  <cp:lastPrinted>2000-03-05T20:18:00Z</cp:lastPrinted>
  <dcterms:created xsi:type="dcterms:W3CDTF">2014-08-07T12:18:00Z</dcterms:created>
  <dcterms:modified xsi:type="dcterms:W3CDTF">2014-08-07T12:18:00Z</dcterms:modified>
</cp:coreProperties>
</file>