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C1" w:rsidRDefault="00682DBA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 xml:space="preserve">2 Столицы </w:t>
      </w:r>
      <w:r>
        <w:rPr>
          <w:b/>
          <w:bCs/>
        </w:rPr>
        <w:br/>
        <w:t>2.1 Хронология</w:t>
      </w:r>
      <w:r>
        <w:rPr>
          <w:b/>
          <w:bCs/>
        </w:rPr>
        <w:br/>
      </w:r>
      <w:r>
        <w:br/>
      </w:r>
      <w:r>
        <w:rPr>
          <w:b/>
          <w:bCs/>
        </w:rPr>
        <w:t>3 Ответственное правительство</w:t>
      </w:r>
      <w:r>
        <w:br/>
      </w:r>
      <w:r>
        <w:rPr>
          <w:b/>
          <w:bCs/>
        </w:rPr>
        <w:t>4 Законодательный застой</w:t>
      </w:r>
      <w:r>
        <w:br/>
      </w:r>
      <w:r>
        <w:rPr>
          <w:b/>
          <w:bCs/>
        </w:rPr>
        <w:t>5 Успехи</w:t>
      </w:r>
      <w:r>
        <w:br/>
      </w:r>
      <w:r>
        <w:rPr>
          <w:b/>
          <w:bCs/>
        </w:rPr>
        <w:t xml:space="preserve">6 Население </w:t>
      </w:r>
      <w:r>
        <w:br/>
      </w:r>
      <w:r>
        <w:rPr>
          <w:b/>
          <w:bCs/>
        </w:rPr>
        <w:t>Список литературы</w:t>
      </w:r>
    </w:p>
    <w:p w:rsidR="003875C1" w:rsidRDefault="00682DB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875C1" w:rsidRDefault="00682DBA">
      <w:pPr>
        <w:pStyle w:val="a3"/>
      </w:pPr>
      <w:r>
        <w:t>Провинция Канада, или Объединенная провинция Канада была британской колонией в Северной Америке с 1841 по 1867 год. Её образование является реакцией на рекомендации, сделанные Джоном Джорджем Лэмбтон Дергем (John Lambton, 1st Earl of Durham) в отчете по делу о Британской Северной Америке после восстания 1837 года.</w:t>
      </w:r>
    </w:p>
    <w:p w:rsidR="003875C1" w:rsidRDefault="00682DBA">
      <w:pPr>
        <w:pStyle w:val="a3"/>
      </w:pPr>
      <w:r>
        <w:t>Провинция Канада вошла в состав Канадской Конфедерации 1 июля 1867 года, где была разделена на две современные канадские провинции Онтарио и Квебек.</w:t>
      </w:r>
    </w:p>
    <w:p w:rsidR="003875C1" w:rsidRDefault="00682DBA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3875C1" w:rsidRDefault="00682DBA">
      <w:pPr>
        <w:pStyle w:val="a3"/>
      </w:pPr>
      <w:r>
        <w:t>До 1841 года территория, приблизительно соответствующая южной части Онтарио в Канаде принадлежала британской колонии Провинция Верхняя Канада, в то время как южная часть современного Квебека и Лабрадор (часть современного Ньюфаундленд и Лабрадор принадлежали колонии Провинция Нижняя Канада. Верхняя Канада была преимущественно англоговорящая, в то время как Нижняя Канада была франкоговорящая. Акт об объединении, подписанный британским парламентом 23 июля 1840 года и обнародованный 10 февраля 1841 года объединял две колонии, упраздняя законодательную власть каждой колонии и заменяя ее на законодательную ассамблею.</w:t>
      </w:r>
    </w:p>
    <w:p w:rsidR="003875C1" w:rsidRDefault="00682DBA">
      <w:pPr>
        <w:pStyle w:val="a3"/>
      </w:pPr>
      <w:r>
        <w:t>В то время как новая законодательная власть поддерживала равное представительство обоих бывших колоний, демократическая природа выборов в Нижней Канаде дала серьезную трещину. Несмотря на франкоговорящее большинство в Нижней Канаде, основная власть была сосредоточена у англоговорящего меньшинства, которое воспользовалось отсутствием тайного голосования чтобы запугать электорат.</w:t>
      </w:r>
    </w:p>
    <w:p w:rsidR="003875C1" w:rsidRDefault="00682DBA">
      <w:pPr>
        <w:pStyle w:val="a3"/>
      </w:pPr>
      <w:r>
        <w:t>Область, которая раньше являлась Верхней Канады, была переименована в Канаду Запад, а Нижняя Канада — в Канаду Восток. После того, как Акт о Британской Северной Америке был подписан британским парламентом, Провинция Канада прекратила свое существование. Впоследствии Канада Запад и Канада Восток были переименованы в провинции Онтарио и Квебек соответственно.</w:t>
      </w:r>
    </w:p>
    <w:p w:rsidR="003875C1" w:rsidRDefault="00682DBA">
      <w:pPr>
        <w:pStyle w:val="21"/>
        <w:pageBreakBefore/>
        <w:numPr>
          <w:ilvl w:val="0"/>
          <w:numId w:val="0"/>
        </w:numPr>
      </w:pPr>
      <w:r>
        <w:t xml:space="preserve">2. Столицы </w:t>
      </w:r>
    </w:p>
    <w:p w:rsidR="003875C1" w:rsidRDefault="00682DBA">
      <w:pPr>
        <w:pStyle w:val="a3"/>
      </w:pPr>
      <w:r>
        <w:t>Расположение столицы провинции Канада менялось шесть раз за ее 26-летнюю историю. Первой столицей был город Кингстон. Столица была перенесена из Монреаля в Торонто в 1849 году, когда мятежники, стимулируемые серией подстрекающих статей в Газетт, опротестовали биль о потерях в восстании и подожгли здание парламента в Монреале. В 1857 году королева Виктория выбрала Оттаву постоянной столицей провинции Канада, объявляя строительство современного здания парламента. Первый этап строительства был завершен в 1865 году, как раз к началу последней сессии парламента провинции Канада перед образованием Конфедерации.</w:t>
      </w:r>
    </w:p>
    <w:p w:rsidR="003875C1" w:rsidRDefault="00682DBA">
      <w:pPr>
        <w:pStyle w:val="31"/>
        <w:numPr>
          <w:ilvl w:val="0"/>
          <w:numId w:val="0"/>
        </w:numPr>
      </w:pPr>
      <w:r>
        <w:t>2.1. Хронология</w:t>
      </w:r>
    </w:p>
    <w:p w:rsidR="003875C1" w:rsidRDefault="00682DB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Кингстон 1841—1843</w:t>
      </w:r>
    </w:p>
    <w:p w:rsidR="003875C1" w:rsidRDefault="00682DB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Монреаль 1843—1849</w:t>
      </w:r>
    </w:p>
    <w:p w:rsidR="003875C1" w:rsidRDefault="00682DB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Торонто 1849—1852</w:t>
      </w:r>
    </w:p>
    <w:p w:rsidR="003875C1" w:rsidRDefault="00682DB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Квебек 1852—1856</w:t>
      </w:r>
    </w:p>
    <w:p w:rsidR="003875C1" w:rsidRDefault="00682DB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Торонто 1859—1866</w:t>
      </w:r>
    </w:p>
    <w:p w:rsidR="003875C1" w:rsidRDefault="00682DB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Квебек 1859—1866</w:t>
      </w:r>
    </w:p>
    <w:p w:rsidR="003875C1" w:rsidRDefault="00682DBA">
      <w:pPr>
        <w:pStyle w:val="a3"/>
        <w:numPr>
          <w:ilvl w:val="0"/>
          <w:numId w:val="2"/>
        </w:numPr>
        <w:tabs>
          <w:tab w:val="left" w:pos="707"/>
        </w:tabs>
      </w:pPr>
      <w:r>
        <w:t>Оттава 1866 −1867</w:t>
      </w:r>
    </w:p>
    <w:p w:rsidR="003875C1" w:rsidRDefault="00682DBA">
      <w:pPr>
        <w:pStyle w:val="21"/>
        <w:pageBreakBefore/>
        <w:numPr>
          <w:ilvl w:val="0"/>
          <w:numId w:val="0"/>
        </w:numPr>
      </w:pPr>
      <w:r>
        <w:t>3. Ответственное правительство</w:t>
      </w:r>
    </w:p>
    <w:p w:rsidR="003875C1" w:rsidRDefault="00682DBA">
      <w:pPr>
        <w:pStyle w:val="a3"/>
      </w:pPr>
      <w:r>
        <w:t>Акт об объединении 1840 года не обеспечивал ответственное правительство (то есть, выборную законодательную власть вместо колониального руководства); напротив, он явно давал полномочия генерал-губернатору провинции отклонять любые законопроекты, утвержденные выборной ассамблеей. В первое время генерал-губернаторы провинции были сильно вовлечены в политику, используя право назначать исполнительный совет и другие должности без совещания с законодательной ассамблеей и даже манипулируя результатами выборов используя запугивание при голосовании. Тайное голосование еще не было введено, таким образом демократическая природа колонии дала большую трещину.</w:t>
      </w:r>
    </w:p>
    <w:p w:rsidR="003875C1" w:rsidRDefault="00682DBA">
      <w:pPr>
        <w:pStyle w:val="a3"/>
      </w:pPr>
      <w:r>
        <w:t xml:space="preserve">Однако, в 1848 году генерал-губернатор Джеймс Брюс, лорд Элгин (James Bruce, 8th Earl of Elgin), назначил кабинет, соответствующий партии большинства в законодательной ассамблее, коалиции Балдвина и Лафонтена, которая выиграла выборы в январе. Лорд Элгин одобрял принципы ответственного правительства не отменив биль о потерях в восстании (очень важный законопроект в политической истори Канады), который был крайне непопулярен среди англоговорящих тори </w:t>
      </w:r>
      <w:r>
        <w:rPr>
          <w:position w:val="10"/>
        </w:rPr>
        <w:t>[1]</w:t>
      </w:r>
      <w:r>
        <w:t>.</w:t>
      </w:r>
    </w:p>
    <w:p w:rsidR="003875C1" w:rsidRDefault="00682DBA">
      <w:pPr>
        <w:pStyle w:val="21"/>
        <w:pageBreakBefore/>
        <w:numPr>
          <w:ilvl w:val="0"/>
          <w:numId w:val="0"/>
        </w:numPr>
      </w:pPr>
      <w:r>
        <w:t>4. Законодательный застой</w:t>
      </w:r>
    </w:p>
    <w:p w:rsidR="003875C1" w:rsidRDefault="00682DBA">
      <w:pPr>
        <w:pStyle w:val="a3"/>
      </w:pPr>
      <w:r>
        <w:t>Канада Запад и Канада Восток каждая имели по 42 места в законодательной ассамблее, что способствовало законодательному застою между англичанами (в основном из Канады Запад) и французами (в основном из Канады Восток). Изначально, большинство провинции было французским и они настаивали на представительстве по численности населения, чему противились англичане.</w:t>
      </w:r>
    </w:p>
    <w:p w:rsidR="003875C1" w:rsidRDefault="00682DBA">
      <w:pPr>
        <w:pStyle w:val="a3"/>
      </w:pPr>
      <w:r>
        <w:t>Когда английское население существенно выросло благодаря иммигрантам и превысило французское, англичане стали настаивать на представительстве по численности населения. В конце концов, законодательный застой между английской и французской частями провинции привел к движению по образованию федерации, что стало в итоге Кандской Конфедерацией в 1867 году.</w:t>
      </w:r>
    </w:p>
    <w:p w:rsidR="003875C1" w:rsidRDefault="00682DBA">
      <w:pPr>
        <w:pStyle w:val="21"/>
        <w:pageBreakBefore/>
        <w:numPr>
          <w:ilvl w:val="0"/>
          <w:numId w:val="0"/>
        </w:numPr>
      </w:pPr>
      <w:r>
        <w:t>5. Успехи</w:t>
      </w:r>
    </w:p>
    <w:p w:rsidR="003875C1" w:rsidRDefault="00682DBA">
      <w:pPr>
        <w:pStyle w:val="a3"/>
      </w:pPr>
      <w:r>
        <w:t>Среди успехов Провинции Канады можно отметить подписание взаимовыгодного договора с США в 1854 году, строительство железнодорожной компании Grand Trunk Railway, улучшение системы образования в Канада Запад при Эгертоне Райерсоне (Egerton Ryerson), возвращение французскому языку звания официального языка в законодательной власти и судах, систематизация гражданского кодекса Нижней Канады в 1866 году и отмена феодальной системы в Канаде Восток.</w:t>
      </w:r>
    </w:p>
    <w:p w:rsidR="003875C1" w:rsidRDefault="00682DBA">
      <w:pPr>
        <w:pStyle w:val="21"/>
        <w:pageBreakBefore/>
        <w:numPr>
          <w:ilvl w:val="0"/>
          <w:numId w:val="0"/>
        </w:numPr>
      </w:pPr>
      <w:r>
        <w:t xml:space="preserve">6. Население 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51"/>
        <w:gridCol w:w="1996"/>
        <w:gridCol w:w="1726"/>
      </w:tblGrid>
      <w:tr w:rsidR="003875C1">
        <w:tc>
          <w:tcPr>
            <w:tcW w:w="751" w:type="dxa"/>
            <w:vAlign w:val="center"/>
          </w:tcPr>
          <w:p w:rsidR="003875C1" w:rsidRDefault="00682DBA">
            <w:pPr>
              <w:pStyle w:val="TableHeading"/>
            </w:pPr>
            <w:r>
              <w:t>Год</w:t>
            </w:r>
          </w:p>
        </w:tc>
        <w:tc>
          <w:tcPr>
            <w:tcW w:w="1996" w:type="dxa"/>
            <w:vAlign w:val="center"/>
          </w:tcPr>
          <w:p w:rsidR="003875C1" w:rsidRDefault="00682DBA">
            <w:pPr>
              <w:pStyle w:val="TableHeading"/>
            </w:pPr>
            <w:r>
              <w:t>Численность (Нижняя) Канада Восток</w:t>
            </w:r>
          </w:p>
        </w:tc>
        <w:tc>
          <w:tcPr>
            <w:tcW w:w="1726" w:type="dxa"/>
            <w:vAlign w:val="center"/>
          </w:tcPr>
          <w:p w:rsidR="003875C1" w:rsidRDefault="00682DBA">
            <w:pPr>
              <w:pStyle w:val="TableHeading"/>
            </w:pPr>
            <w:r>
              <w:t>Численность (Верхняя) Канада Запад</w:t>
            </w:r>
          </w:p>
        </w:tc>
      </w:tr>
      <w:tr w:rsidR="003875C1">
        <w:tc>
          <w:tcPr>
            <w:tcW w:w="751" w:type="dxa"/>
            <w:vAlign w:val="center"/>
          </w:tcPr>
          <w:p w:rsidR="003875C1" w:rsidRDefault="00682DBA">
            <w:pPr>
              <w:pStyle w:val="TableContents"/>
            </w:pPr>
            <w:r>
              <w:t>1841</w:t>
            </w:r>
          </w:p>
        </w:tc>
        <w:tc>
          <w:tcPr>
            <w:tcW w:w="1996" w:type="dxa"/>
            <w:vAlign w:val="center"/>
          </w:tcPr>
          <w:p w:rsidR="003875C1" w:rsidRDefault="00682DBA">
            <w:pPr>
              <w:pStyle w:val="TableContents"/>
            </w:pPr>
            <w:r>
              <w:t>нет данных</w:t>
            </w:r>
          </w:p>
        </w:tc>
        <w:tc>
          <w:tcPr>
            <w:tcW w:w="1726" w:type="dxa"/>
            <w:vAlign w:val="center"/>
          </w:tcPr>
          <w:p w:rsidR="003875C1" w:rsidRDefault="00682DBA">
            <w:pPr>
              <w:pStyle w:val="TableContents"/>
            </w:pPr>
            <w:r>
              <w:t>455,688</w:t>
            </w:r>
          </w:p>
        </w:tc>
      </w:tr>
      <w:tr w:rsidR="003875C1">
        <w:tc>
          <w:tcPr>
            <w:tcW w:w="751" w:type="dxa"/>
            <w:vAlign w:val="center"/>
          </w:tcPr>
          <w:p w:rsidR="003875C1" w:rsidRDefault="00682DBA">
            <w:pPr>
              <w:pStyle w:val="TableContents"/>
            </w:pPr>
            <w:r>
              <w:t>1844</w:t>
            </w:r>
          </w:p>
        </w:tc>
        <w:tc>
          <w:tcPr>
            <w:tcW w:w="1996" w:type="dxa"/>
            <w:vAlign w:val="center"/>
          </w:tcPr>
          <w:p w:rsidR="003875C1" w:rsidRDefault="00682DBA">
            <w:pPr>
              <w:pStyle w:val="TableContents"/>
            </w:pPr>
            <w:r>
              <w:t>697,084</w:t>
            </w:r>
          </w:p>
        </w:tc>
        <w:tc>
          <w:tcPr>
            <w:tcW w:w="1726" w:type="dxa"/>
            <w:vAlign w:val="center"/>
          </w:tcPr>
          <w:p w:rsidR="003875C1" w:rsidRDefault="00682DBA">
            <w:pPr>
              <w:pStyle w:val="TableContents"/>
            </w:pPr>
            <w:r>
              <w:t>нет данных</w:t>
            </w:r>
          </w:p>
        </w:tc>
      </w:tr>
      <w:tr w:rsidR="003875C1">
        <w:tc>
          <w:tcPr>
            <w:tcW w:w="751" w:type="dxa"/>
            <w:vAlign w:val="center"/>
          </w:tcPr>
          <w:p w:rsidR="003875C1" w:rsidRDefault="00682DBA">
            <w:pPr>
              <w:pStyle w:val="TableContents"/>
            </w:pPr>
            <w:r>
              <w:t>1848</w:t>
            </w:r>
          </w:p>
        </w:tc>
        <w:tc>
          <w:tcPr>
            <w:tcW w:w="1996" w:type="dxa"/>
            <w:vAlign w:val="center"/>
          </w:tcPr>
          <w:p w:rsidR="003875C1" w:rsidRDefault="00682DBA">
            <w:pPr>
              <w:pStyle w:val="TableContents"/>
            </w:pPr>
            <w:r>
              <w:t>765,797-786,693 приблизительно</w:t>
            </w:r>
          </w:p>
        </w:tc>
        <w:tc>
          <w:tcPr>
            <w:tcW w:w="1726" w:type="dxa"/>
            <w:vAlign w:val="center"/>
          </w:tcPr>
          <w:p w:rsidR="003875C1" w:rsidRDefault="00682DBA">
            <w:pPr>
              <w:pStyle w:val="TableContents"/>
            </w:pPr>
            <w:r>
              <w:t>725,879</w:t>
            </w:r>
          </w:p>
        </w:tc>
      </w:tr>
      <w:tr w:rsidR="003875C1">
        <w:tc>
          <w:tcPr>
            <w:tcW w:w="751" w:type="dxa"/>
            <w:vAlign w:val="center"/>
          </w:tcPr>
          <w:p w:rsidR="003875C1" w:rsidRDefault="00682DBA">
            <w:pPr>
              <w:pStyle w:val="TableContents"/>
            </w:pPr>
            <w:r>
              <w:t>1851-52</w:t>
            </w:r>
          </w:p>
        </w:tc>
        <w:tc>
          <w:tcPr>
            <w:tcW w:w="1996" w:type="dxa"/>
            <w:vAlign w:val="center"/>
          </w:tcPr>
          <w:p w:rsidR="003875C1" w:rsidRDefault="00682DBA">
            <w:pPr>
              <w:pStyle w:val="TableContents"/>
            </w:pPr>
            <w:r>
              <w:t>890,261</w:t>
            </w:r>
          </w:p>
        </w:tc>
        <w:tc>
          <w:tcPr>
            <w:tcW w:w="1726" w:type="dxa"/>
            <w:vAlign w:val="center"/>
          </w:tcPr>
          <w:p w:rsidR="003875C1" w:rsidRDefault="00682DBA">
            <w:pPr>
              <w:pStyle w:val="TableContents"/>
            </w:pPr>
            <w:r>
              <w:t>952,004</w:t>
            </w:r>
          </w:p>
        </w:tc>
      </w:tr>
      <w:tr w:rsidR="003875C1">
        <w:tc>
          <w:tcPr>
            <w:tcW w:w="751" w:type="dxa"/>
            <w:vAlign w:val="center"/>
          </w:tcPr>
          <w:p w:rsidR="003875C1" w:rsidRDefault="00682DBA">
            <w:pPr>
              <w:pStyle w:val="TableContents"/>
            </w:pPr>
            <w:r>
              <w:t>1860-61</w:t>
            </w:r>
          </w:p>
        </w:tc>
        <w:tc>
          <w:tcPr>
            <w:tcW w:w="1996" w:type="dxa"/>
            <w:vAlign w:val="center"/>
          </w:tcPr>
          <w:p w:rsidR="003875C1" w:rsidRDefault="00682DBA">
            <w:pPr>
              <w:pStyle w:val="TableContents"/>
            </w:pPr>
            <w:r>
              <w:t>1,111,566</w:t>
            </w:r>
          </w:p>
        </w:tc>
        <w:tc>
          <w:tcPr>
            <w:tcW w:w="1726" w:type="dxa"/>
            <w:vAlign w:val="center"/>
          </w:tcPr>
          <w:p w:rsidR="003875C1" w:rsidRDefault="00682DBA">
            <w:pPr>
              <w:pStyle w:val="TableContents"/>
            </w:pPr>
            <w:r>
              <w:t>1,396,091</w:t>
            </w:r>
          </w:p>
        </w:tc>
      </w:tr>
    </w:tbl>
    <w:p w:rsidR="003875C1" w:rsidRDefault="00682DBA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875C1" w:rsidRDefault="00682DB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С. Ю. Данилов «История Канады» Изд-во Весь Мир, Москва, 2006.</w:t>
      </w:r>
    </w:p>
    <w:p w:rsidR="003875C1" w:rsidRDefault="00682DBA">
      <w:pPr>
        <w:pStyle w:val="a3"/>
        <w:numPr>
          <w:ilvl w:val="0"/>
          <w:numId w:val="1"/>
        </w:numPr>
        <w:tabs>
          <w:tab w:val="left" w:pos="707"/>
        </w:tabs>
      </w:pPr>
      <w:r>
        <w:t>Численность населения</w:t>
      </w:r>
    </w:p>
    <w:p w:rsidR="003875C1" w:rsidRDefault="00682DBA">
      <w:pPr>
        <w:pStyle w:val="a3"/>
        <w:spacing w:after="0"/>
      </w:pPr>
      <w:r>
        <w:t>Источник: http://ru.wikipedia.org/wiki/Канада_(провинция)</w:t>
      </w:r>
      <w:bookmarkStart w:id="0" w:name="_GoBack"/>
      <w:bookmarkEnd w:id="0"/>
    </w:p>
    <w:sectPr w:rsidR="003875C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DBA"/>
    <w:rsid w:val="00266E94"/>
    <w:rsid w:val="003875C1"/>
    <w:rsid w:val="0068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20DAE-5AE1-4326-A3C4-E0F9ED52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2014-03-29T21:34:00Z</dcterms:created>
  <dcterms:modified xsi:type="dcterms:W3CDTF">2014-03-29T21:34:00Z</dcterms:modified>
</cp:coreProperties>
</file>