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BB" w:rsidRPr="00C409BB" w:rsidRDefault="00C409BB" w:rsidP="00C409BB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Карл Радек</w:t>
      </w:r>
    </w:p>
    <w:p w:rsidR="00C409BB" w:rsidRPr="00C409BB" w:rsidRDefault="00C409BB" w:rsidP="00C409BB">
      <w:pPr>
        <w:spacing w:before="120"/>
        <w:ind w:firstLine="567"/>
        <w:jc w:val="both"/>
        <w:rPr>
          <w:sz w:val="28"/>
          <w:szCs w:val="28"/>
        </w:rPr>
      </w:pPr>
      <w:r w:rsidRPr="00C409BB">
        <w:rPr>
          <w:sz w:val="28"/>
          <w:szCs w:val="28"/>
        </w:rPr>
        <w:t xml:space="preserve">И. Нусинов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Радек Карл Бернгардович (1885—) — публицист, политический деятель. Член ВКП(б). Участвовал в рабочем движении Польши, Германии, а после Февральской революции 1917 — России. После революции 1905 работал с Розой Люксембург в левой германской с.-д. В самом начале империалистической войны занял интернационалистическую позицию, был участником Циммервальдской и Кинтальской конференций. После Октября переехал в Петроград, примкнул к левым коммунистам и выступал против Брестского мира. Работал в Наркоминделе в качестве руководителя отдела Центральной Европы. В ноябре 1918, когда разразилась революция в Германии, Р. поехал туда в качестве делегата на Съезд советов. 15 февраля 1919 был арестован и только в декабре вернулся в Россию. С 1920 по 1924 — секретарь ИК. В 1919—1924 — член ЦК ВКП(б). Осенью 1923, в дни Гамбургского восстания, присоединился к позиции правых деятелей КПГ Брандлера и Тальгеймера, ставших впоследствии ренегатами. В 1924 — активный участник троцкистской оппозиции, превратившейся в контрреволюционную группу. XV съездом был исключен из партии. Возвращен в партию после того, как летом 1929 признал правильность генеральной линии партии и контрреволюционность троцкизма.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В центре внимания Р. как политика и публициста стоят сложнейшие, наиболее актуальные проблемы современной мировой политики. Вскрывая классовые корни этой политики и поведения ее деятелей, Р. всегда помнит, что история делается людьми. Исключительное знание современной действительности дает ему возможность показать борьбу социалистического и капиталистического миров, внутренние противоречия империалистического мира во всем их живом своеобразии. Публицистическая страстность и целенаправленность, острое восприятие живых людей, проводящих политику своих партий и классов, делают его публицистику высокохудожественной.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В «Портретах и памфлетах» Р. (2 тома) проявляется основное качество его работ. Он не ограничивается суммарной оценкой явления, а вскрывает в нем то особенное, что отличает его от многих других, родственных ему явлений. Социально-типическое показывается в своем индивидуализированном проявлении. Но в этом индивидуализированном показе нет импрессионизма и субъективистского психологизма. Отдельные явления выступают в своей социальной закономерности и обусловленности. Таков напр. портрет Нансена («Портреты и памфлеты», т. II). Р. умеет вскрывать особенность данного момента, данной ситуации в общем процессе борьбы.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Непосредственное литературно-художественное значение имеют воспоминания Р. и портреты деятелей пролетарской революции, включенные в сборник «Портреты и памфлеты», о Розе Люксембург, Карле Либкнехте, Лео Иогихесе, Кларе Цеткин и др., а также художественно-публицистические зарисовки представителей империалистического и социал-фашистского мира (лорд Керзон, Гинденбург, Эберт и др.).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Глубокое понимание огромной исторической значимости Ленина, Сталина и их ближайших соратников — Свердлова, Дзержинского, — Цеткин, Люксембург позволяет Радеку через их портреты осветить большие проблемы социализма, роста социалистич. человека, дать опыт нашей эпохи в свете будущего. Здесь надо особенно отметить его работу «Зодчий социалистического общества», где в виде лекции из курса истории победы социализма, прочитанного в 1967, в пятидесятую годовщину Октябрьской революции, он дает портрет т. Сталина и вскрывает великую роль Сталина в борьбе за победу социализма, показывает все величие сталинского периода. «На мавзолее Ленина, окруженный своими ближайшими соратниками — Молотовым, Кагановичем, Ворошиловым, Калининым, Орджоникидзе, стоял Сталин в серой солдатской шинели. Спокойные его глаза смотрели в раздумьи на сотни тысяч пролетариев, проходящих мимо ленинского саркофага уверенной поступью лобового отряда будущих победителей капиталистического мира. Он знал, что он выполнил клятву, произнесенную десять лет назад над гробом Ленина. И это знали все трудящиеся СССР, и это знал мировой революционный пролетариат.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К сжатой, спокойной, как утес, фигуре нашего вождя шли волны любви и доверия, шли волны уверенности, что там, на мавзолее Ленина, собрался штаб будущей победоносной мировой революции».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Эти заключительные слова о Сталине на фоне первомайской демонстрации 1933 подымаются до эпоса революции.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Радек нередко выступает непосредственно на фронте литературы и искусства со своими статьями о тех или других значительных явлениях литературы («Поднятая целина» Шолохова, «Большой конвейер» Я. Ильина, Ремарк и др.), о театральных постановках («Смерть русского капитализма, или Егор Булычев и другие», по поводу постановки «Короля Лира» в Госете, о том, «Как Всеволод Мейерхольд попал в Гамлеты и как Жирофле-Жирофля начали строить»), о кино («Два фильма»).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Две задачи ставит Радек перед литературной критикой: популяризации произведения искусства и помощи писателю в познании действительности. Для Радека-критика характерно обращение к автору, активное участие в процессе его внутренней перестройки. Он протягивает руку писателю, он борется за талант художника, чтобы завоевать его для революции.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Мелкобуржуазной литературе Р. уделяет особое внимание, так как мелкая буржуазия может явиться резервом и для пролетариата и для буржуазии. Статьи о Драйзере, Жиде и особенно о Р. Роллане намечают путь от мелкобуржуазного гуманизма к пролетарскому, от иллюзий пацифизма к защите пролетарской революции. В безнадежных же случаях (случай с Ремарком) Р. ограждает от влияния пацифизма восприимчивых к его яду писателей и читателей. Используя объективную ценность потрясающих картин империалистической войны, созданных Ремарком, Р. находит слова, которые должны заставить задуматься не одного мелкобуржуазного пацифиста: «И ты их все-таки предал, Ремарк, твоих товарищей, гниющих на полях Франции, ибо ты не зовешь на бой против тех, кто погнал их на смерть»... «Неужели для того вы воскресили в ваших товарищах память о войне и заставили их страдать заново, чтобы выторговать себе ренту из их крови?»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В статье о «Дне втором» Эренбурга Р. сумел объяснить сложные процессы изживания буржуазного индивидуализма, характерные для ряда выдающихся и западных и советских писателей, из расстановки классовых сил в стране. Р. энергично выступил против схематизирующего искажения прошлого в романе польского пролетарского писателя Кручковского «Кордиан и Хам». Борясь против патриотической легенды о восстании 1830, созданной буржуазной Польшей, Кручковский берет шляхту как единое целое, не знающее расслоения и внутренней борьбы. Р. объяснил Кручковскому его ошибку, показал наличие части шляхты, объединявшей борьбу за освобождение Польши с борьбой за демократию, за освобождение крестьян, а главное — указал на неслучайность этой ошибки — на неверную постановку национального вопроса.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В статье «Под лозунгом социалистического реализма» Радек вскрыл основу троцкистского отрицания пролетарской литературы в контрреволюционной троцкистской теории о невозможности построения социализма в одной стране.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На первом Всесоюзном съезде советских писателей Р. прочел доклад «Современная мировая литература и задачи пролетарского искусства», где показал роковую роль империализма и фашизма для современной литературы капиталистических стран. Р. противопоставил фашистской литературе социалистическую литературу и показал в какой мере переход на сторону пролетариата является фактором творческого возрождения и расцвета лучших писателей, порвавших с буржуазией. Доклад Радека вызвал большой отклик в капиталистических странах, на него реагировали не только друзья, но и враги социализма. На выступление польского писателя Каден-Бандровского Радек ответил двумя полемическими статьями, где вскрыл беспочвенность и низкий уровень критики его позиций буржуазными писателями.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Литературно-критическая деятельность Р. составляет лишь часть его общеполитической литературной работы. Р. активно занимается вопросами международной политики. Его статьи по международным вопросам постоянно печатаются в «Известиях». </w:t>
      </w:r>
    </w:p>
    <w:p w:rsidR="00C409BB" w:rsidRPr="006902D8" w:rsidRDefault="00C409BB" w:rsidP="00C409BB">
      <w:pPr>
        <w:spacing w:before="120"/>
        <w:jc w:val="center"/>
        <w:rPr>
          <w:b/>
          <w:bCs/>
          <w:sz w:val="28"/>
          <w:szCs w:val="28"/>
        </w:rPr>
      </w:pPr>
      <w:r w:rsidRPr="006902D8">
        <w:rPr>
          <w:b/>
          <w:bCs/>
          <w:sz w:val="28"/>
          <w:szCs w:val="28"/>
        </w:rPr>
        <w:t xml:space="preserve">Список литературы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I. Часть предвоенных работ Р. издана на немецком яз. под заглавием: In den Reihen d. russischen Revolution. Из многочисленных работ Р. на русском языке указываем только имеющие непосредственное отношение к вопросам литературоведения: Карл Либкнехт, М., 1918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Памяти Либкнехта, Баку, 1919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Жизнь и дело Ленина, Л., 1924 (неск. изд.)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О Ленине, М., 1924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Революционный вождь, Л., 1924 (Ленинская биб-ка)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Роза Люксембург. Карл Либкнехт. Лео Иогихес, М., 1924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Портреты и памфлеты, М.—Л., 1927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То же, 2 тт., М., 1933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То же, 2 тт., М., 1934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Портреты вредителей. (Рис. Дени), М.—Л., 1931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От Гете к Гитлеру, «Изв. ЦИК СССР и ВЦИК», 1932, № 90, 31 марта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Мелкий буржуа возвращается с войны. О Ремарке, «Интернациональная литература», 1933, № 3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Зодчий социалистического общества, М., 1934 (два изд.)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Современная мировая литература и задачи пролетарского искусства, М., 1934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Геркулес, чистящий Авгиевы конюшни зубной щеткой, «Изв. ЦИК СССР и ВЦИК», 1934, № 235, 16 окт. (об. Э. Синклере)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Под лозунгом социалистического реализма, «Изв. ЦИК СССР и ВЦИК», 1934, № 191, 17 авг.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Мысли к съезду советских писателей, «Изв. ЦИК СССР и ВЦИК», 1934, № 187, 12 авг.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Революционный польский роман. (О романе Л. Кручковского «Кордиан и Хам»), «Изв. ЦИК СССР и ВЦИК», 1934, № 171, 24 июля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«Сапожник, который знал не только колодки». К 65-летию со дня рождения Мартина Андерсена-Нексе, «Изв. ЦИК СССР и ВЦИК», 1934, № 147, 26 июня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Про Китай, Японию и социалистический реализм, «Изв. ЦИК СССР и ВЦИК», 1934, № 125, 30 мая (о романе Перл Бак «Земля» и о повести Л. Рубинштейна «Тропа самураев»)</w:t>
      </w:r>
      <w:r>
        <w:t xml:space="preserve"> </w:t>
      </w:r>
    </w:p>
    <w:p w:rsidR="00C409BB" w:rsidRDefault="00C409BB" w:rsidP="00C409BB">
      <w:pPr>
        <w:spacing w:before="120"/>
        <w:ind w:firstLine="567"/>
        <w:jc w:val="both"/>
      </w:pPr>
      <w:r w:rsidRPr="00DD4078">
        <w:t>Жертва хаоса... в собственной голове, «Изв. ЦИК СССР и ВЦИК», 1934, № 120, 24 мая (о статье А. Гарри «Жертвы хаоса», критикующей роман И. Эренбурга «День второй»)</w:t>
      </w:r>
      <w:r>
        <w:t xml:space="preserve"> </w:t>
      </w:r>
    </w:p>
    <w:p w:rsidR="00C409BB" w:rsidRPr="00DD4078" w:rsidRDefault="00C409BB" w:rsidP="00C409BB">
      <w:pPr>
        <w:spacing w:before="120"/>
        <w:ind w:firstLine="567"/>
        <w:jc w:val="both"/>
      </w:pPr>
      <w:r w:rsidRPr="00DD4078">
        <w:t xml:space="preserve">День второй Ильи Эренбурга, «Изв. ЦИК СССР и ВЦИК», 1934, № 115, 8 мая. Автобиографию Р. см. в «Энциклопедическом словаре Русского библиографического института Гранат», издание 7, т. 41, ч. 2, стр. 138—169 (приложение «Деятели СССР и Октябрьской революции»).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9BB"/>
    <w:rsid w:val="00002B5A"/>
    <w:rsid w:val="0010437E"/>
    <w:rsid w:val="00391607"/>
    <w:rsid w:val="003E0C41"/>
    <w:rsid w:val="00616072"/>
    <w:rsid w:val="006902D8"/>
    <w:rsid w:val="006A5004"/>
    <w:rsid w:val="00710178"/>
    <w:rsid w:val="008B35EE"/>
    <w:rsid w:val="00905CC1"/>
    <w:rsid w:val="00B42C45"/>
    <w:rsid w:val="00B47B6A"/>
    <w:rsid w:val="00C409BB"/>
    <w:rsid w:val="00D51511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CC5E11-5059-4CE7-BF28-3D5EED2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409B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8489</Characters>
  <Application>Microsoft Office Word</Application>
  <DocSecurity>0</DocSecurity>
  <Lines>70</Lines>
  <Paragraphs>19</Paragraphs>
  <ScaleCrop>false</ScaleCrop>
  <Company>Home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Радек</dc:title>
  <dc:subject/>
  <dc:creator>User</dc:creator>
  <cp:keywords/>
  <dc:description/>
  <cp:lastModifiedBy>admin</cp:lastModifiedBy>
  <cp:revision>2</cp:revision>
  <dcterms:created xsi:type="dcterms:W3CDTF">2014-02-18T03:00:00Z</dcterms:created>
  <dcterms:modified xsi:type="dcterms:W3CDTF">2014-02-18T03:00:00Z</dcterms:modified>
</cp:coreProperties>
</file>