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72" w:rsidRDefault="002E2472">
      <w:pPr>
        <w:widowControl w:val="0"/>
        <w:jc w:val="both"/>
        <w:rPr>
          <w:b/>
          <w:bCs/>
          <w:snapToGrid w:val="0"/>
          <w:color w:val="FF0000"/>
          <w:sz w:val="52"/>
          <w:szCs w:val="52"/>
        </w:rPr>
      </w:pPr>
    </w:p>
    <w:p w:rsidR="00060EAF" w:rsidRDefault="00060EAF">
      <w:pPr>
        <w:widowControl w:val="0"/>
        <w:jc w:val="both"/>
        <w:rPr>
          <w:b/>
          <w:bCs/>
          <w:snapToGrid w:val="0"/>
          <w:color w:val="FF0000"/>
          <w:sz w:val="52"/>
          <w:szCs w:val="52"/>
          <w:lang w:val="en-US"/>
        </w:rPr>
      </w:pPr>
      <w:r>
        <w:rPr>
          <w:b/>
          <w:bCs/>
          <w:snapToGrid w:val="0"/>
          <w:color w:val="FF0000"/>
          <w:sz w:val="52"/>
          <w:szCs w:val="52"/>
        </w:rPr>
        <w:t>Кислотно-щелочное равновесие крови.</w:t>
      </w:r>
    </w:p>
    <w:p w:rsidR="00060EAF" w:rsidRDefault="00060EAF">
      <w:pPr>
        <w:widowControl w:val="0"/>
        <w:ind w:left="-1800" w:firstLine="1560"/>
        <w:jc w:val="both"/>
        <w:rPr>
          <w:b/>
          <w:bCs/>
          <w:snapToGrid w:val="0"/>
          <w:sz w:val="36"/>
          <w:szCs w:val="36"/>
          <w:lang w:val="en-US"/>
        </w:rPr>
      </w:pPr>
      <w:r>
        <w:rPr>
          <w:b/>
          <w:bCs/>
          <w:snapToGrid w:val="0"/>
          <w:sz w:val="48"/>
          <w:szCs w:val="48"/>
          <w:lang w:val="en-US"/>
        </w:rPr>
        <w:t xml:space="preserve">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6"/>
          <w:szCs w:val="36"/>
        </w:rPr>
        <w:t>План :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 xml:space="preserve">Ι.   </w:t>
      </w:r>
      <w:r>
        <w:rPr>
          <w:snapToGrid w:val="0"/>
          <w:sz w:val="32"/>
          <w:szCs w:val="32"/>
        </w:rPr>
        <w:t>О</w:t>
      </w:r>
      <w:r>
        <w:rPr>
          <w:snapToGrid w:val="0"/>
          <w:sz w:val="32"/>
          <w:szCs w:val="32"/>
          <w:lang w:val="en-US"/>
        </w:rPr>
        <w:t>бразование и выделение кислот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1.</w:t>
      </w:r>
      <w:r>
        <w:rPr>
          <w:snapToGrid w:val="0"/>
          <w:sz w:val="32"/>
          <w:szCs w:val="32"/>
        </w:rPr>
        <w:tab/>
        <w:t>Формирование угольной кислоты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  <w:lang w:val="en-US"/>
        </w:rPr>
        <w:t>2.</w:t>
      </w:r>
      <w:r>
        <w:rPr>
          <w:snapToGrid w:val="0"/>
          <w:sz w:val="32"/>
          <w:szCs w:val="32"/>
          <w:lang w:val="en-US"/>
        </w:rPr>
        <w:tab/>
        <w:t>Формирование неугольных кислот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3.</w:t>
      </w:r>
      <w:r>
        <w:rPr>
          <w:snapToGrid w:val="0"/>
          <w:sz w:val="32"/>
          <w:szCs w:val="32"/>
        </w:rPr>
        <w:tab/>
        <w:t>Способы поддержания концентрации Н</w:t>
      </w:r>
      <w:r>
        <w:rPr>
          <w:snapToGrid w:val="0"/>
          <w:sz w:val="32"/>
          <w:szCs w:val="32"/>
          <w:vertAlign w:val="superscript"/>
        </w:rPr>
        <w:t>+</w:t>
      </w:r>
      <w:r>
        <w:rPr>
          <w:snapToGrid w:val="0"/>
          <w:sz w:val="32"/>
          <w:szCs w:val="32"/>
        </w:rPr>
        <w:t xml:space="preserve"> в нормальных пределах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ΙΙ. Ионы водорода и рH 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</w:rPr>
        <w:t>1.</w:t>
      </w:r>
      <w:r>
        <w:rPr>
          <w:snapToGrid w:val="0"/>
          <w:sz w:val="32"/>
          <w:szCs w:val="32"/>
        </w:rPr>
        <w:tab/>
        <w:t>Химические основы</w:t>
      </w:r>
      <w:r>
        <w:rPr>
          <w:snapToGrid w:val="0"/>
          <w:sz w:val="32"/>
          <w:szCs w:val="32"/>
          <w:lang w:val="en-US"/>
        </w:rPr>
        <w:t xml:space="preserve"> 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  <w:lang w:val="en-US"/>
        </w:rPr>
        <w:t>2.</w:t>
      </w:r>
      <w:r>
        <w:rPr>
          <w:snapToGrid w:val="0"/>
          <w:sz w:val="32"/>
          <w:szCs w:val="32"/>
          <w:lang w:val="en-US"/>
        </w:rPr>
        <w:tab/>
        <w:t>Представление о рH  и концентрации  водорода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</w:rPr>
        <w:t>ΙΙΙ</w:t>
      </w:r>
      <w:r>
        <w:rPr>
          <w:snapToGrid w:val="0"/>
          <w:sz w:val="32"/>
          <w:szCs w:val="32"/>
          <w:lang w:val="en-US"/>
        </w:rPr>
        <w:t>. Буферные свойства крови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1.</w:t>
      </w:r>
      <w:r>
        <w:rPr>
          <w:snapToGrid w:val="0"/>
          <w:sz w:val="32"/>
          <w:szCs w:val="32"/>
        </w:rPr>
        <w:tab/>
        <w:t>Гидрокарбонатный буфер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2.</w:t>
      </w:r>
      <w:r>
        <w:rPr>
          <w:snapToGrid w:val="0"/>
          <w:sz w:val="32"/>
          <w:szCs w:val="32"/>
        </w:rPr>
        <w:tab/>
        <w:t>Фосфатный буфер</w:t>
      </w:r>
      <w:r>
        <w:rPr>
          <w:snapToGrid w:val="0"/>
          <w:sz w:val="32"/>
          <w:szCs w:val="32"/>
          <w:lang w:val="en-US"/>
        </w:rPr>
        <w:t>`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3.</w:t>
      </w:r>
      <w:r>
        <w:rPr>
          <w:snapToGrid w:val="0"/>
          <w:sz w:val="32"/>
          <w:szCs w:val="32"/>
        </w:rPr>
        <w:tab/>
        <w:t>Белковый буфер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4.</w:t>
      </w:r>
      <w:r>
        <w:rPr>
          <w:snapToGrid w:val="0"/>
          <w:sz w:val="32"/>
          <w:szCs w:val="32"/>
        </w:rPr>
        <w:tab/>
        <w:t>Гемоглобиновый буфер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5.</w:t>
      </w:r>
      <w:r>
        <w:rPr>
          <w:snapToGrid w:val="0"/>
          <w:sz w:val="32"/>
          <w:szCs w:val="32"/>
        </w:rPr>
        <w:tab/>
        <w:t>Буферные основания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</w:rPr>
        <w:t>lV</w:t>
      </w:r>
      <w:r>
        <w:rPr>
          <w:snapToGrid w:val="0"/>
          <w:sz w:val="32"/>
          <w:szCs w:val="32"/>
          <w:lang w:val="en-US"/>
        </w:rPr>
        <w:t xml:space="preserve">. Механизмы регуляции рH 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1.</w:t>
      </w:r>
      <w:r>
        <w:rPr>
          <w:snapToGrid w:val="0"/>
          <w:sz w:val="32"/>
          <w:szCs w:val="32"/>
          <w:lang w:val="en-US"/>
        </w:rPr>
        <w:tab/>
        <w:t>Участие дыхательной системы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2.</w:t>
      </w:r>
      <w:r>
        <w:rPr>
          <w:snapToGrid w:val="0"/>
          <w:sz w:val="32"/>
          <w:szCs w:val="32"/>
        </w:rPr>
        <w:tab/>
        <w:t>Участие почек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3.</w:t>
      </w:r>
      <w:r>
        <w:rPr>
          <w:snapToGrid w:val="0"/>
          <w:sz w:val="32"/>
          <w:szCs w:val="32"/>
        </w:rPr>
        <w:tab/>
        <w:t>Ацидоз и алкалоз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4.</w:t>
      </w:r>
      <w:r>
        <w:rPr>
          <w:snapToGrid w:val="0"/>
          <w:sz w:val="32"/>
          <w:szCs w:val="32"/>
        </w:rPr>
        <w:tab/>
        <w:t>Оценка КЩР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b/>
          <w:bCs/>
          <w:snapToGrid w:val="0"/>
          <w:sz w:val="40"/>
          <w:szCs w:val="40"/>
        </w:rPr>
      </w:pPr>
      <w:r>
        <w:rPr>
          <w:snapToGrid w:val="0"/>
          <w:sz w:val="40"/>
          <w:szCs w:val="40"/>
        </w:rPr>
        <w:t>I.</w:t>
      </w:r>
      <w:r>
        <w:rPr>
          <w:b/>
          <w:bCs/>
          <w:snapToGrid w:val="0"/>
          <w:sz w:val="40"/>
          <w:szCs w:val="40"/>
        </w:rPr>
        <w:t>Образование и выделение кислот.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Любой организм образует большое </w:t>
      </w:r>
      <w:r>
        <w:rPr>
          <w:snapToGrid w:val="0"/>
          <w:sz w:val="32"/>
          <w:szCs w:val="32"/>
          <w:lang w:val="en-GB"/>
        </w:rPr>
        <w:t>количество кисло</w:t>
      </w:r>
      <w:r>
        <w:rPr>
          <w:snapToGrid w:val="0"/>
          <w:sz w:val="32"/>
          <w:szCs w:val="32"/>
        </w:rPr>
        <w:t xml:space="preserve">т в 2ух формах: угольной (летучей ) и в нелетучей (фиксированной)  кислотах.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РН  жидкостей организма слегка  щелочная, поддерживается на уровне 7,4. Большая часть ионов водорода образуется как конечный продукт метаболизма. Пути удаления кислот включают почки, легкие, ЖКТ.</w:t>
      </w:r>
    </w:p>
    <w:p w:rsidR="00060EAF" w:rsidRDefault="00060EAF">
      <w:pPr>
        <w:widowControl w:val="0"/>
        <w:jc w:val="both"/>
        <w:rPr>
          <w:b/>
          <w:bCs/>
          <w:i/>
          <w:iCs/>
          <w:snapToGrid w:val="0"/>
          <w:sz w:val="32"/>
          <w:szCs w:val="32"/>
          <w:lang w:val="en-US"/>
        </w:rPr>
      </w:pPr>
      <w:r>
        <w:rPr>
          <w:b/>
          <w:bCs/>
          <w:i/>
          <w:iCs/>
          <w:snapToGrid w:val="0"/>
          <w:sz w:val="32"/>
          <w:szCs w:val="32"/>
          <w:lang w:val="en-US"/>
        </w:rPr>
        <w:t>Формирование угольной кислоты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Т.к.  диоксид углерода (СО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)  может образовываться из Н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СО</w:t>
      </w:r>
      <w:r>
        <w:rPr>
          <w:snapToGrid w:val="0"/>
          <w:sz w:val="32"/>
          <w:szCs w:val="32"/>
          <w:vertAlign w:val="subscript"/>
        </w:rPr>
        <w:t>3</w:t>
      </w:r>
      <w:r>
        <w:rPr>
          <w:snapToGrid w:val="0"/>
          <w:sz w:val="32"/>
          <w:szCs w:val="32"/>
        </w:rPr>
        <w:t xml:space="preserve"> и,  далее, 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 может удаляться легкими, то Н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СО</w:t>
      </w:r>
      <w:r>
        <w:rPr>
          <w:snapToGrid w:val="0"/>
          <w:sz w:val="32"/>
          <w:szCs w:val="32"/>
          <w:vertAlign w:val="subscript"/>
        </w:rPr>
        <w:t>3</w:t>
      </w:r>
      <w:r>
        <w:rPr>
          <w:snapToGrid w:val="0"/>
          <w:sz w:val="32"/>
          <w:szCs w:val="32"/>
        </w:rPr>
        <w:t xml:space="preserve"> называется летучей кислотой.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  <w:lang w:val="en-US"/>
        </w:rPr>
        <w:t>А)</w:t>
      </w:r>
      <w:r>
        <w:rPr>
          <w:snapToGrid w:val="0"/>
          <w:sz w:val="32"/>
          <w:szCs w:val="32"/>
        </w:rPr>
        <w:t xml:space="preserve"> К несчастью, протон-донорно- акцепторная классификация Бренстеда не допускает классификацию 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 как кислоты, но углекислый газ функционирует как единственная слабая кислота жидкостей организма.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Б) Большая часть 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 извлекается из окислительного метаболизма.</w:t>
      </w:r>
    </w:p>
    <w:p w:rsidR="00060EAF" w:rsidRDefault="00060EAF">
      <w:pPr>
        <w:widowControl w:val="0"/>
        <w:jc w:val="both"/>
        <w:rPr>
          <w:b/>
          <w:b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Формирование неугольных кислот.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Гораздо меньше образуется фиксированных кислот, кислот которые называются нелетучими, т</w:t>
      </w:r>
      <w:r>
        <w:rPr>
          <w:snapToGrid w:val="0"/>
          <w:sz w:val="32"/>
          <w:szCs w:val="32"/>
          <w:lang w:val="en-US"/>
        </w:rPr>
        <w:t xml:space="preserve">.к. </w:t>
      </w:r>
      <w:r>
        <w:rPr>
          <w:snapToGrid w:val="0"/>
          <w:sz w:val="32"/>
          <w:szCs w:val="32"/>
        </w:rPr>
        <w:t xml:space="preserve"> они не могут превращаться в 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.  Неугольные кислоты  организм получает из 3ех источников: пища, промежуточный метаболизм  и потеря бикарбонатов со стулом.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А)  Пища. Богатая белками диета больше способствует образованию кислот, чем щелочей. Такие компоненты пищи, как глюкоза, триглицериды, не являются компонентами в организме, но метабилизируются  в 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, большинство которого гидратируется  в форму Н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СО</w:t>
      </w:r>
      <w:r>
        <w:rPr>
          <w:snapToGrid w:val="0"/>
          <w:sz w:val="32"/>
          <w:szCs w:val="32"/>
          <w:vertAlign w:val="subscript"/>
        </w:rPr>
        <w:t>3</w:t>
      </w:r>
      <w:r>
        <w:rPr>
          <w:snapToGrid w:val="0"/>
          <w:sz w:val="32"/>
          <w:szCs w:val="32"/>
        </w:rPr>
        <w:t>, которая диссоциирует на Н</w:t>
      </w:r>
      <w:r>
        <w:rPr>
          <w:snapToGrid w:val="0"/>
          <w:sz w:val="32"/>
          <w:szCs w:val="32"/>
          <w:vertAlign w:val="superscript"/>
        </w:rPr>
        <w:t xml:space="preserve">+ </w:t>
      </w:r>
      <w:r>
        <w:rPr>
          <w:snapToGrid w:val="0"/>
          <w:sz w:val="32"/>
          <w:szCs w:val="32"/>
        </w:rPr>
        <w:t>и НСО</w:t>
      </w:r>
      <w:r>
        <w:rPr>
          <w:snapToGrid w:val="0"/>
          <w:sz w:val="32"/>
          <w:szCs w:val="32"/>
          <w:vertAlign w:val="subscript"/>
        </w:rPr>
        <w:t>3</w:t>
      </w:r>
      <w:r>
        <w:rPr>
          <w:snapToGrid w:val="0"/>
          <w:sz w:val="32"/>
          <w:szCs w:val="32"/>
          <w:vertAlign w:val="superscript"/>
        </w:rPr>
        <w:t xml:space="preserve">Ї </w:t>
      </w:r>
      <w:r>
        <w:rPr>
          <w:snapToGrid w:val="0"/>
          <w:sz w:val="32"/>
          <w:szCs w:val="32"/>
        </w:rPr>
        <w:t>. Растительная пища образует избыток щелочей, которые должны быть выведены почками.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Б) Промежуточный метаболизм.</w:t>
      </w:r>
      <w:r>
        <w:rPr>
          <w:snapToGrid w:val="0"/>
          <w:sz w:val="32"/>
          <w:szCs w:val="32"/>
          <w:lang w:val="en-US"/>
        </w:rPr>
        <w:t xml:space="preserve">  Метаболизм веществ пищи склонен к закислению жидкостей организма. Некоторые продукты  обладают ощелачивающим действием. Например, поступление большого количества органических кислот,</w:t>
      </w:r>
      <w:r>
        <w:rPr>
          <w:snapToGrid w:val="0"/>
          <w:sz w:val="32"/>
          <w:szCs w:val="32"/>
        </w:rPr>
        <w:t xml:space="preserve"> содержащихся во фруктах (лактат, цитрат, изоцитрат), ведет  к защелачиванию  жидкостей организма, т.к. в процессе метаболизма эти органические ионы превращаются в 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 и Н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О. А этот процесс ведет к расходу Н</w:t>
      </w:r>
      <w:r>
        <w:rPr>
          <w:snapToGrid w:val="0"/>
          <w:sz w:val="32"/>
          <w:szCs w:val="32"/>
          <w:vertAlign w:val="superscript"/>
        </w:rPr>
        <w:t>+</w:t>
      </w:r>
      <w:r>
        <w:rPr>
          <w:snapToGrid w:val="0"/>
          <w:sz w:val="32"/>
          <w:szCs w:val="32"/>
        </w:rPr>
        <w:t>. Около 40-60 ммоль органических и неорганических кислот, в образовании которых участвует 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, образуются ежедневно. Около половины этих кислот нейтрализуется основаниями, поступающими с пищей, но            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остальные должны нейтрализоваться буферными системами организма.</w:t>
      </w:r>
    </w:p>
    <w:p w:rsidR="00060EAF" w:rsidRDefault="00060EAF">
      <w:pPr>
        <w:widowControl w:val="0"/>
        <w:ind w:left="-142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Метаболизм пищевых компонентов -  важный источник некарбоновых кислот.</w:t>
      </w:r>
    </w:p>
    <w:p w:rsidR="00060EAF" w:rsidRDefault="00060EAF">
      <w:pPr>
        <w:widowControl w:val="0"/>
        <w:tabs>
          <w:tab w:val="left" w:pos="360"/>
        </w:tabs>
        <w:ind w:left="-142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1.</w:t>
      </w:r>
      <w:r>
        <w:rPr>
          <w:snapToGrid w:val="0"/>
          <w:sz w:val="32"/>
          <w:szCs w:val="32"/>
        </w:rPr>
        <w:tab/>
        <w:t>Лактат образуется при анаэробном окислении глюкозы или гликогена. В случае физической нагрузки и гипоксии чрезмерное образование молочных кислот  приводит к временному увеличению  синтеза неорганических кислот.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2.</w:t>
      </w:r>
      <w:r>
        <w:rPr>
          <w:snapToGrid w:val="0"/>
          <w:sz w:val="32"/>
          <w:szCs w:val="32"/>
          <w:lang w:val="en-US"/>
        </w:rPr>
        <w:tab/>
        <w:t xml:space="preserve">Ацетоацетат и </w:t>
      </w:r>
      <w:r>
        <w:rPr>
          <w:snapToGrid w:val="0"/>
          <w:sz w:val="32"/>
          <w:szCs w:val="32"/>
        </w:rPr>
        <w:t>β- гидроксибутират образуются при метаболизме триглицеридов.</w:t>
      </w:r>
      <w:r>
        <w:rPr>
          <w:snapToGrid w:val="0"/>
          <w:sz w:val="32"/>
          <w:szCs w:val="32"/>
          <w:lang w:val="en-US"/>
        </w:rPr>
        <w:t xml:space="preserve"> Это кетоновые тела, которые образуются  из неорганических кислот при голодании.  После еды </w:t>
      </w:r>
      <w:r>
        <w:rPr>
          <w:snapToGrid w:val="0"/>
          <w:sz w:val="32"/>
          <w:szCs w:val="32"/>
        </w:rPr>
        <w:t>ацетоацетат и β-гидроксибутират  подвергаются дальнейшему расщеплению до 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 и Н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О</w:t>
      </w:r>
      <w:r>
        <w:rPr>
          <w:snapToGrid w:val="0"/>
          <w:sz w:val="32"/>
          <w:szCs w:val="32"/>
          <w:lang w:val="en-US"/>
        </w:rPr>
        <w:t>.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</w:rPr>
        <w:t>3.</w:t>
      </w:r>
      <w:r>
        <w:rPr>
          <w:snapToGrid w:val="0"/>
          <w:sz w:val="32"/>
          <w:szCs w:val="32"/>
        </w:rPr>
        <w:tab/>
        <w:t>Фосфорная кислота образуется при метаболизме фосфолипидов и служит значительным источником Н</w:t>
      </w:r>
      <w:r>
        <w:rPr>
          <w:snapToGrid w:val="0"/>
          <w:sz w:val="32"/>
          <w:szCs w:val="32"/>
          <w:vertAlign w:val="superscript"/>
          <w:lang w:val="en-US"/>
        </w:rPr>
        <w:t>+</w:t>
      </w:r>
      <w:r>
        <w:rPr>
          <w:snapToGrid w:val="0"/>
          <w:sz w:val="32"/>
          <w:szCs w:val="32"/>
        </w:rPr>
        <w:t>.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4.</w:t>
      </w:r>
      <w:r>
        <w:rPr>
          <w:snapToGrid w:val="0"/>
          <w:sz w:val="32"/>
          <w:szCs w:val="32"/>
          <w:lang w:val="en-US"/>
        </w:rPr>
        <w:tab/>
        <w:t xml:space="preserve">Серные кислоты образуются при распаде белков, содержащих такие аминокислоты, как цистеин, метионин-  в которых есть сульфидная группа.  </w:t>
      </w:r>
      <w:r>
        <w:rPr>
          <w:snapToGrid w:val="0"/>
          <w:sz w:val="32"/>
          <w:szCs w:val="32"/>
        </w:rPr>
        <w:t xml:space="preserve">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 5. Мочевая кислота - продукт метаболизма нуклеотидов.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C)  Потеря НСО</w:t>
      </w:r>
      <w:r>
        <w:rPr>
          <w:snapToGrid w:val="0"/>
          <w:sz w:val="32"/>
          <w:szCs w:val="32"/>
          <w:vertAlign w:val="subscript"/>
        </w:rPr>
        <w:t>3</w:t>
      </w:r>
      <w:r>
        <w:rPr>
          <w:snapToGrid w:val="0"/>
          <w:sz w:val="32"/>
          <w:szCs w:val="32"/>
          <w:vertAlign w:val="superscript"/>
        </w:rPr>
        <w:t>Ї</w:t>
      </w:r>
      <w:r>
        <w:rPr>
          <w:snapToGrid w:val="0"/>
          <w:sz w:val="32"/>
          <w:szCs w:val="32"/>
          <w:lang w:val="en-US"/>
        </w:rPr>
        <w:t xml:space="preserve">  со стулом.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Пища содержит органические соли - анионы и катионы- которые могут превращаться в производные неорганических кислот  и оснований. Органические анионы, которые подвергаются в организме метаболизму до НСО</w:t>
      </w:r>
      <w:r>
        <w:rPr>
          <w:snapToGrid w:val="0"/>
          <w:sz w:val="32"/>
          <w:szCs w:val="32"/>
          <w:vertAlign w:val="subscript"/>
        </w:rPr>
        <w:t>3</w:t>
      </w:r>
      <w:r>
        <w:rPr>
          <w:snapToGrid w:val="0"/>
          <w:sz w:val="32"/>
          <w:szCs w:val="32"/>
          <w:vertAlign w:val="superscript"/>
        </w:rPr>
        <w:t>Ї</w:t>
      </w:r>
      <w:r>
        <w:rPr>
          <w:snapToGrid w:val="0"/>
          <w:sz w:val="32"/>
          <w:szCs w:val="32"/>
        </w:rPr>
        <w:t>, включают ацетат, цитрат и в присутствии инсулина- анионы кетокислот.</w:t>
      </w:r>
      <w:r>
        <w:rPr>
          <w:snapToGrid w:val="0"/>
          <w:sz w:val="32"/>
          <w:szCs w:val="32"/>
          <w:lang w:val="en-US"/>
        </w:rPr>
        <w:t xml:space="preserve">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Пищеварительные процессы приводят к потере 40-60ммоль щелочей с выделениями, что равнозначно прибавке нелетучих кислот в организме.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 xml:space="preserve"> </w:t>
      </w:r>
    </w:p>
    <w:p w:rsidR="00060EAF" w:rsidRDefault="00060EAF">
      <w:pPr>
        <w:widowControl w:val="0"/>
        <w:jc w:val="both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Способы поддержания концентрации Н</w:t>
      </w:r>
      <w:r>
        <w:rPr>
          <w:b/>
          <w:bCs/>
          <w:i/>
          <w:iCs/>
          <w:snapToGrid w:val="0"/>
          <w:sz w:val="32"/>
          <w:szCs w:val="32"/>
          <w:vertAlign w:val="superscript"/>
        </w:rPr>
        <w:t xml:space="preserve">+  </w:t>
      </w:r>
      <w:r>
        <w:rPr>
          <w:b/>
          <w:bCs/>
          <w:i/>
          <w:iCs/>
          <w:snapToGrid w:val="0"/>
          <w:sz w:val="32"/>
          <w:szCs w:val="32"/>
        </w:rPr>
        <w:t>в нормальных пределах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</w:rPr>
        <w:t>1.</w:t>
      </w:r>
      <w:r>
        <w:rPr>
          <w:snapToGrid w:val="0"/>
          <w:sz w:val="32"/>
          <w:szCs w:val="32"/>
        </w:rPr>
        <w:tab/>
        <w:t>Комбинация Н</w:t>
      </w:r>
      <w:r>
        <w:rPr>
          <w:snapToGrid w:val="0"/>
          <w:sz w:val="32"/>
          <w:szCs w:val="32"/>
          <w:vertAlign w:val="superscript"/>
        </w:rPr>
        <w:t>+</w:t>
      </w:r>
      <w:r>
        <w:rPr>
          <w:snapToGrid w:val="0"/>
          <w:sz w:val="32"/>
          <w:szCs w:val="32"/>
        </w:rPr>
        <w:t xml:space="preserve"> с химическими буферами НСО</w:t>
      </w:r>
      <w:r>
        <w:rPr>
          <w:snapToGrid w:val="0"/>
          <w:sz w:val="32"/>
          <w:szCs w:val="32"/>
          <w:vertAlign w:val="subscript"/>
        </w:rPr>
        <w:t xml:space="preserve">3 </w:t>
      </w:r>
      <w:r>
        <w:rPr>
          <w:snapToGrid w:val="0"/>
          <w:sz w:val="32"/>
          <w:szCs w:val="32"/>
        </w:rPr>
        <w:t>Ї, протеины, фосфаты и гемоглобин</w:t>
      </w:r>
      <w:r>
        <w:rPr>
          <w:snapToGrid w:val="0"/>
          <w:sz w:val="32"/>
          <w:szCs w:val="32"/>
          <w:vertAlign w:val="superscript"/>
        </w:rPr>
        <w:t xml:space="preserve"> </w:t>
      </w:r>
      <w:r>
        <w:rPr>
          <w:snapToGrid w:val="0"/>
          <w:sz w:val="32"/>
          <w:szCs w:val="32"/>
          <w:lang w:val="en-US"/>
        </w:rPr>
        <w:t>.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2.</w:t>
      </w:r>
      <w:r>
        <w:rPr>
          <w:snapToGrid w:val="0"/>
          <w:sz w:val="32"/>
          <w:szCs w:val="32"/>
          <w:lang w:val="en-US"/>
        </w:rPr>
        <w:tab/>
        <w:t>Выделение СО</w:t>
      </w:r>
      <w:r>
        <w:rPr>
          <w:snapToGrid w:val="0"/>
          <w:sz w:val="32"/>
          <w:szCs w:val="32"/>
          <w:vertAlign w:val="subscript"/>
          <w:lang w:val="en-US"/>
        </w:rPr>
        <w:t>2</w:t>
      </w:r>
      <w:r>
        <w:rPr>
          <w:snapToGrid w:val="0"/>
          <w:sz w:val="32"/>
          <w:szCs w:val="32"/>
          <w:lang w:val="en-US"/>
        </w:rPr>
        <w:t xml:space="preserve"> с легочной вентиляцией.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vertAlign w:val="superscript"/>
        </w:rPr>
      </w:pPr>
      <w:r>
        <w:rPr>
          <w:snapToGrid w:val="0"/>
          <w:sz w:val="32"/>
          <w:szCs w:val="32"/>
          <w:lang w:val="en-US"/>
        </w:rPr>
        <w:t xml:space="preserve">3.Экскреция </w:t>
      </w:r>
      <w:r>
        <w:rPr>
          <w:snapToGrid w:val="0"/>
          <w:sz w:val="32"/>
          <w:szCs w:val="32"/>
        </w:rPr>
        <w:t>Н</w:t>
      </w:r>
      <w:r>
        <w:rPr>
          <w:snapToGrid w:val="0"/>
          <w:sz w:val="32"/>
          <w:szCs w:val="32"/>
          <w:vertAlign w:val="superscript"/>
        </w:rPr>
        <w:t>+</w:t>
      </w:r>
      <w:r>
        <w:rPr>
          <w:snapToGrid w:val="0"/>
          <w:sz w:val="32"/>
          <w:szCs w:val="32"/>
        </w:rPr>
        <w:t xml:space="preserve"> почками.</w:t>
      </w:r>
    </w:p>
    <w:p w:rsidR="00060EAF" w:rsidRDefault="00060EAF">
      <w:pPr>
        <w:widowControl w:val="0"/>
        <w:jc w:val="both"/>
        <w:rPr>
          <w:b/>
          <w:bCs/>
          <w:snapToGrid w:val="0"/>
          <w:sz w:val="40"/>
          <w:szCs w:val="40"/>
          <w:lang w:val="en-US"/>
        </w:rPr>
      </w:pPr>
      <w:r>
        <w:rPr>
          <w:b/>
          <w:bCs/>
          <w:snapToGrid w:val="0"/>
          <w:sz w:val="40"/>
          <w:szCs w:val="40"/>
          <w:lang w:val="en-US"/>
        </w:rPr>
        <w:t xml:space="preserve">II. Ионы водорода и рН. </w:t>
      </w:r>
    </w:p>
    <w:p w:rsidR="00060EAF" w:rsidRDefault="00060EAF">
      <w:pPr>
        <w:widowControl w:val="0"/>
        <w:jc w:val="both"/>
        <w:rPr>
          <w:b/>
          <w:bCs/>
          <w:snapToGrid w:val="0"/>
          <w:sz w:val="40"/>
          <w:szCs w:val="40"/>
          <w:lang w:val="en-US"/>
        </w:rPr>
      </w:pPr>
    </w:p>
    <w:p w:rsidR="00060EAF" w:rsidRDefault="00060EAF">
      <w:pPr>
        <w:keepNext/>
        <w:widowControl w:val="0"/>
        <w:jc w:val="both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Химические основы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Н</w:t>
      </w:r>
      <w:r>
        <w:rPr>
          <w:snapToGrid w:val="0"/>
          <w:sz w:val="32"/>
          <w:szCs w:val="32"/>
          <w:vertAlign w:val="superscript"/>
        </w:rPr>
        <w:t xml:space="preserve">+ </w:t>
      </w:r>
      <w:r>
        <w:rPr>
          <w:snapToGrid w:val="0"/>
          <w:sz w:val="32"/>
          <w:szCs w:val="32"/>
        </w:rPr>
        <w:t>- это протон, т.е. атом водорода без своего орбитального электрона</w:t>
      </w:r>
      <w:r>
        <w:rPr>
          <w:snapToGrid w:val="0"/>
          <w:sz w:val="32"/>
          <w:szCs w:val="32"/>
          <w:lang w:val="en-US"/>
        </w:rPr>
        <w:t>;</w:t>
      </w:r>
      <w:r>
        <w:rPr>
          <w:snapToGrid w:val="0"/>
          <w:sz w:val="32"/>
          <w:szCs w:val="32"/>
        </w:rPr>
        <w:t xml:space="preserve"> Н</w:t>
      </w:r>
      <w:r>
        <w:rPr>
          <w:snapToGrid w:val="0"/>
          <w:sz w:val="32"/>
          <w:szCs w:val="32"/>
          <w:vertAlign w:val="superscript"/>
        </w:rPr>
        <w:t>+</w:t>
      </w:r>
      <w:r>
        <w:rPr>
          <w:snapToGrid w:val="0"/>
          <w:sz w:val="32"/>
          <w:szCs w:val="32"/>
        </w:rPr>
        <w:t xml:space="preserve"> в водном растворе присутствует как гидроксид-ион или Н</w:t>
      </w:r>
      <w:r>
        <w:rPr>
          <w:snapToGrid w:val="0"/>
          <w:sz w:val="32"/>
          <w:szCs w:val="32"/>
          <w:vertAlign w:val="subscript"/>
        </w:rPr>
        <w:t>3</w:t>
      </w:r>
      <w:r>
        <w:rPr>
          <w:snapToGrid w:val="0"/>
          <w:sz w:val="32"/>
          <w:szCs w:val="32"/>
        </w:rPr>
        <w:t xml:space="preserve">О </w:t>
      </w:r>
      <w:r>
        <w:rPr>
          <w:snapToGrid w:val="0"/>
          <w:sz w:val="32"/>
          <w:szCs w:val="32"/>
          <w:vertAlign w:val="superscript"/>
        </w:rPr>
        <w:t>+.</w:t>
      </w:r>
      <w:r>
        <w:rPr>
          <w:snapToGrid w:val="0"/>
          <w:sz w:val="32"/>
          <w:szCs w:val="32"/>
          <w:lang w:val="en-US"/>
        </w:rPr>
        <w:t xml:space="preserve"> Присоединение и отдача Н</w:t>
      </w:r>
      <w:r>
        <w:rPr>
          <w:snapToGrid w:val="0"/>
          <w:sz w:val="32"/>
          <w:szCs w:val="32"/>
          <w:vertAlign w:val="superscript"/>
        </w:rPr>
        <w:t xml:space="preserve">+ </w:t>
      </w:r>
      <w:r>
        <w:rPr>
          <w:snapToGrid w:val="0"/>
          <w:sz w:val="32"/>
          <w:szCs w:val="32"/>
        </w:rPr>
        <w:t xml:space="preserve"> лежит в основе кислотно-щелочной химии. На сегодняшний день принята теория кислотно-щелочного отношения Бренстеда.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  <w:lang w:val="en-US"/>
        </w:rPr>
        <w:t>Кислоты  - вещества, которые в растворах отдают ионы водорода, т.е.  являются донорами Н</w:t>
      </w:r>
      <w:r>
        <w:rPr>
          <w:snapToGrid w:val="0"/>
          <w:sz w:val="32"/>
          <w:szCs w:val="32"/>
          <w:vertAlign w:val="superscript"/>
        </w:rPr>
        <w:t>+</w:t>
      </w:r>
      <w:r>
        <w:rPr>
          <w:snapToGrid w:val="0"/>
          <w:sz w:val="32"/>
          <w:szCs w:val="32"/>
          <w:lang w:val="en-US"/>
        </w:rPr>
        <w:t>. ( NH</w:t>
      </w:r>
      <w:r>
        <w:rPr>
          <w:snapToGrid w:val="0"/>
          <w:sz w:val="32"/>
          <w:szCs w:val="32"/>
          <w:vertAlign w:val="subscript"/>
          <w:lang w:val="en-US"/>
        </w:rPr>
        <w:t>4</w:t>
      </w:r>
      <w:r>
        <w:rPr>
          <w:snapToGrid w:val="0"/>
          <w:sz w:val="32"/>
          <w:szCs w:val="32"/>
          <w:vertAlign w:val="superscript"/>
          <w:lang w:val="en-US"/>
        </w:rPr>
        <w:t xml:space="preserve">+ </w:t>
      </w:r>
      <w:r>
        <w:rPr>
          <w:snapToGrid w:val="0"/>
          <w:sz w:val="32"/>
          <w:szCs w:val="32"/>
          <w:lang w:val="en-US"/>
        </w:rPr>
        <w:t>- Н</w:t>
      </w:r>
      <w:r>
        <w:rPr>
          <w:snapToGrid w:val="0"/>
          <w:sz w:val="32"/>
          <w:szCs w:val="32"/>
          <w:vertAlign w:val="superscript"/>
        </w:rPr>
        <w:t>+</w:t>
      </w:r>
      <w:r>
        <w:rPr>
          <w:snapToGrid w:val="0"/>
          <w:sz w:val="32"/>
          <w:szCs w:val="32"/>
        </w:rPr>
        <w:t xml:space="preserve"> + NH</w:t>
      </w:r>
      <w:r>
        <w:rPr>
          <w:snapToGrid w:val="0"/>
          <w:sz w:val="32"/>
          <w:szCs w:val="32"/>
          <w:vertAlign w:val="subscript"/>
          <w:lang w:val="en-US"/>
        </w:rPr>
        <w:t>3</w:t>
      </w:r>
      <w:r>
        <w:rPr>
          <w:snapToGrid w:val="0"/>
          <w:sz w:val="32"/>
          <w:szCs w:val="32"/>
          <w:lang w:val="en-US"/>
        </w:rPr>
        <w:t>)</w:t>
      </w:r>
      <w:r>
        <w:rPr>
          <w:snapToGrid w:val="0"/>
          <w:sz w:val="32"/>
          <w:szCs w:val="32"/>
        </w:rPr>
        <w:t>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  <w:lang w:val="en-US"/>
        </w:rPr>
        <w:t>Основания - вещества, принимающие ион водорода, т.е. являющиеся акцепторами Н</w:t>
      </w:r>
      <w:r>
        <w:rPr>
          <w:snapToGrid w:val="0"/>
          <w:sz w:val="32"/>
          <w:szCs w:val="32"/>
          <w:vertAlign w:val="superscript"/>
        </w:rPr>
        <w:t>+</w:t>
      </w:r>
      <w:r>
        <w:rPr>
          <w:snapToGrid w:val="0"/>
          <w:sz w:val="32"/>
          <w:szCs w:val="32"/>
          <w:lang w:val="en-US"/>
        </w:rPr>
        <w:t>. ( ОН</w:t>
      </w:r>
      <w:r>
        <w:rPr>
          <w:snapToGrid w:val="0"/>
          <w:sz w:val="32"/>
          <w:szCs w:val="32"/>
          <w:vertAlign w:val="superscript"/>
        </w:rPr>
        <w:t>Ї</w:t>
      </w:r>
      <w:r>
        <w:rPr>
          <w:snapToGrid w:val="0"/>
          <w:sz w:val="32"/>
          <w:szCs w:val="32"/>
        </w:rPr>
        <w:t>+ Н</w:t>
      </w:r>
      <w:r>
        <w:rPr>
          <w:snapToGrid w:val="0"/>
          <w:sz w:val="32"/>
          <w:szCs w:val="32"/>
          <w:vertAlign w:val="superscript"/>
        </w:rPr>
        <w:t xml:space="preserve">+ </w:t>
      </w:r>
      <w:r>
        <w:rPr>
          <w:snapToGrid w:val="0"/>
          <w:sz w:val="32"/>
          <w:szCs w:val="32"/>
        </w:rPr>
        <w:t>- Н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О).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Реакция диссоциации :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vertAlign w:val="superscript"/>
        </w:rPr>
      </w:pPr>
      <w:r>
        <w:rPr>
          <w:snapToGrid w:val="0"/>
          <w:sz w:val="32"/>
          <w:szCs w:val="32"/>
          <w:lang w:val="en-US"/>
        </w:rPr>
        <w:t xml:space="preserve">НА </w:t>
      </w:r>
      <w:r>
        <w:rPr>
          <w:snapToGrid w:val="0"/>
          <w:sz w:val="32"/>
          <w:szCs w:val="32"/>
        </w:rPr>
        <w:t xml:space="preserve"> Н</w:t>
      </w:r>
      <w:r>
        <w:rPr>
          <w:snapToGrid w:val="0"/>
          <w:sz w:val="32"/>
          <w:szCs w:val="32"/>
          <w:vertAlign w:val="superscript"/>
        </w:rPr>
        <w:t xml:space="preserve">+ </w:t>
      </w:r>
      <w:r>
        <w:rPr>
          <w:snapToGrid w:val="0"/>
          <w:sz w:val="32"/>
          <w:szCs w:val="32"/>
        </w:rPr>
        <w:t>+ А</w:t>
      </w:r>
      <w:r>
        <w:rPr>
          <w:snapToGrid w:val="0"/>
          <w:sz w:val="32"/>
          <w:szCs w:val="32"/>
          <w:vertAlign w:val="superscript"/>
        </w:rPr>
        <w:t>Ї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 xml:space="preserve"> При протекании этой реакции в прямом направлении НА представляет собой кислоту. Когда эта реакция осуществляется в обратном направлении анион А</w:t>
      </w:r>
      <w:r>
        <w:rPr>
          <w:snapToGrid w:val="0"/>
          <w:sz w:val="32"/>
          <w:szCs w:val="32"/>
        </w:rPr>
        <w:t>Ї является основанием (ОН</w:t>
      </w:r>
      <w:r>
        <w:rPr>
          <w:snapToGrid w:val="0"/>
          <w:sz w:val="32"/>
          <w:szCs w:val="32"/>
          <w:vertAlign w:val="superscript"/>
        </w:rPr>
        <w:t>Ї</w:t>
      </w:r>
      <w:r>
        <w:rPr>
          <w:snapToGrid w:val="0"/>
          <w:sz w:val="32"/>
          <w:szCs w:val="32"/>
        </w:rPr>
        <w:t>связывает ионы водорода). А</w:t>
      </w:r>
      <w:r>
        <w:rPr>
          <w:snapToGrid w:val="0"/>
          <w:sz w:val="32"/>
          <w:szCs w:val="32"/>
          <w:vertAlign w:val="superscript"/>
        </w:rPr>
        <w:t xml:space="preserve">Ї </w:t>
      </w:r>
      <w:r>
        <w:rPr>
          <w:snapToGrid w:val="0"/>
          <w:sz w:val="32"/>
          <w:szCs w:val="32"/>
        </w:rPr>
        <w:t xml:space="preserve"> называют сопряженным основанием. Между реакциями диссоциации и ассоциации существует равновесие, подчиняющееся закону действия масс. В случае сильных кислот, например, HCl</w:t>
      </w:r>
      <w:r>
        <w:rPr>
          <w:snapToGrid w:val="0"/>
          <w:sz w:val="32"/>
          <w:szCs w:val="32"/>
          <w:lang w:val="en-US"/>
        </w:rPr>
        <w:t>, равновесие в реакции HCl- Н</w:t>
      </w:r>
      <w:r>
        <w:rPr>
          <w:snapToGrid w:val="0"/>
          <w:sz w:val="32"/>
          <w:szCs w:val="32"/>
          <w:vertAlign w:val="superscript"/>
        </w:rPr>
        <w:t xml:space="preserve">+  </w:t>
      </w:r>
      <w:r>
        <w:rPr>
          <w:snapToGrid w:val="0"/>
          <w:sz w:val="32"/>
          <w:szCs w:val="32"/>
        </w:rPr>
        <w:t xml:space="preserve">+ </w:t>
      </w:r>
      <w:r>
        <w:rPr>
          <w:snapToGrid w:val="0"/>
          <w:sz w:val="32"/>
          <w:szCs w:val="32"/>
          <w:lang w:val="en-US"/>
        </w:rPr>
        <w:t>ClЇ   Значительно   смещено вправо.  Если же НА представляет собой  слабую кислоту, то диссоциация происходит не полностью, степень ее зависит от константы равновесия.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α =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 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 xml:space="preserve">    </w:t>
      </w:r>
      <w:r>
        <w:rPr>
          <w:snapToGrid w:val="0"/>
          <w:sz w:val="32"/>
          <w:szCs w:val="32"/>
        </w:rPr>
        <w:t xml:space="preserve"> </w:t>
      </w:r>
      <w:r>
        <w:rPr>
          <w:snapToGrid w:val="0"/>
          <w:sz w:val="32"/>
          <w:szCs w:val="32"/>
          <w:lang w:val="en-US"/>
        </w:rPr>
        <w:t xml:space="preserve">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рис.1 Зависимость степени диссо</w:t>
      </w:r>
      <w:r>
        <w:rPr>
          <w:snapToGrid w:val="0"/>
          <w:sz w:val="32"/>
          <w:szCs w:val="32"/>
        </w:rPr>
        <w:t>циации от рН.  рК</w:t>
      </w:r>
      <w:r>
        <w:rPr>
          <w:snapToGrid w:val="0"/>
          <w:sz w:val="32"/>
          <w:szCs w:val="32"/>
          <w:vertAlign w:val="superscript"/>
        </w:rPr>
        <w:t xml:space="preserve">' </w:t>
      </w:r>
      <w:r>
        <w:rPr>
          <w:snapToGrid w:val="0"/>
          <w:sz w:val="32"/>
          <w:szCs w:val="32"/>
        </w:rPr>
        <w:t>- отрицательный логарифм константы равновесия К</w:t>
      </w:r>
      <w:r>
        <w:rPr>
          <w:snapToGrid w:val="0"/>
          <w:sz w:val="32"/>
          <w:szCs w:val="32"/>
          <w:vertAlign w:val="superscript"/>
        </w:rPr>
        <w:t>'</w:t>
      </w:r>
      <w:r>
        <w:rPr>
          <w:snapToGrid w:val="0"/>
          <w:sz w:val="32"/>
          <w:szCs w:val="32"/>
        </w:rPr>
        <w:t>.</w:t>
      </w:r>
      <w:r>
        <w:rPr>
          <w:snapToGrid w:val="0"/>
          <w:sz w:val="32"/>
          <w:szCs w:val="32"/>
          <w:lang w:val="en-US"/>
        </w:rPr>
        <w:t xml:space="preserve"> </w:t>
      </w:r>
    </w:p>
    <w:p w:rsidR="00060EAF" w:rsidRDefault="00060EAF">
      <w:pPr>
        <w:widowControl w:val="0"/>
        <w:jc w:val="both"/>
        <w:rPr>
          <w:b/>
          <w:bCs/>
          <w:snapToGrid w:val="0"/>
          <w:sz w:val="32"/>
          <w:szCs w:val="32"/>
          <w:lang w:val="en-US"/>
        </w:rPr>
      </w:pPr>
      <w:r>
        <w:rPr>
          <w:b/>
          <w:bCs/>
          <w:i/>
          <w:iCs/>
          <w:snapToGrid w:val="0"/>
          <w:sz w:val="32"/>
          <w:szCs w:val="32"/>
          <w:lang w:val="en-US"/>
        </w:rPr>
        <w:t xml:space="preserve"> Предcтавление о рН и  [Н</w:t>
      </w:r>
      <w:r>
        <w:rPr>
          <w:b/>
          <w:bCs/>
          <w:i/>
          <w:iCs/>
          <w:snapToGrid w:val="0"/>
          <w:sz w:val="32"/>
          <w:szCs w:val="32"/>
          <w:vertAlign w:val="superscript"/>
        </w:rPr>
        <w:t>+</w:t>
      </w:r>
      <w:r>
        <w:rPr>
          <w:b/>
          <w:bCs/>
          <w:i/>
          <w:iCs/>
          <w:snapToGrid w:val="0"/>
          <w:sz w:val="32"/>
          <w:szCs w:val="32"/>
          <w:lang w:val="en-US"/>
        </w:rPr>
        <w:t>]</w:t>
      </w:r>
      <w:r>
        <w:rPr>
          <w:b/>
          <w:bCs/>
          <w:snapToGrid w:val="0"/>
          <w:sz w:val="32"/>
          <w:szCs w:val="32"/>
          <w:lang w:val="en-US"/>
        </w:rPr>
        <w:t xml:space="preserve"> 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1.</w:t>
      </w:r>
      <w:r>
        <w:rPr>
          <w:snapToGrid w:val="0"/>
          <w:sz w:val="32"/>
          <w:szCs w:val="32"/>
          <w:lang w:val="en-US"/>
        </w:rPr>
        <w:tab/>
        <w:t>Концентрация Н</w:t>
      </w:r>
      <w:r>
        <w:rPr>
          <w:snapToGrid w:val="0"/>
          <w:sz w:val="32"/>
          <w:szCs w:val="32"/>
          <w:vertAlign w:val="superscript"/>
        </w:rPr>
        <w:t>+</w:t>
      </w:r>
      <w:r>
        <w:rPr>
          <w:snapToGrid w:val="0"/>
          <w:sz w:val="32"/>
          <w:szCs w:val="32"/>
        </w:rPr>
        <w:t xml:space="preserve"> выражается 2мя методами: прямо через [H</w:t>
      </w:r>
      <w:r>
        <w:rPr>
          <w:snapToGrid w:val="0"/>
          <w:sz w:val="32"/>
          <w:szCs w:val="32"/>
          <w:vertAlign w:val="superscript"/>
          <w:lang w:val="en-US"/>
        </w:rPr>
        <w:t>+</w:t>
      </w:r>
      <w:r>
        <w:rPr>
          <w:snapToGrid w:val="0"/>
          <w:sz w:val="32"/>
          <w:szCs w:val="32"/>
          <w:lang w:val="en-US"/>
        </w:rPr>
        <w:t>] или через рН. Отношение между [Н</w:t>
      </w:r>
      <w:r>
        <w:rPr>
          <w:snapToGrid w:val="0"/>
          <w:sz w:val="32"/>
          <w:szCs w:val="32"/>
          <w:vertAlign w:val="superscript"/>
        </w:rPr>
        <w:t>+</w:t>
      </w:r>
      <w:r>
        <w:rPr>
          <w:snapToGrid w:val="0"/>
          <w:sz w:val="32"/>
          <w:szCs w:val="32"/>
          <w:lang w:val="en-US"/>
        </w:rPr>
        <w:t>] и рН может быть выражено как: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 xml:space="preserve">РН = lg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РН = - lg [H</w:t>
      </w:r>
      <w:r>
        <w:rPr>
          <w:snapToGrid w:val="0"/>
          <w:sz w:val="32"/>
          <w:szCs w:val="32"/>
          <w:vertAlign w:val="superscript"/>
          <w:lang w:val="en-US"/>
        </w:rPr>
        <w:t>+</w:t>
      </w:r>
      <w:r>
        <w:rPr>
          <w:snapToGrid w:val="0"/>
          <w:sz w:val="32"/>
          <w:szCs w:val="32"/>
          <w:lang w:val="en-US"/>
        </w:rPr>
        <w:t xml:space="preserve">]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vertAlign w:val="superscript"/>
          <w:lang w:val="en-US"/>
        </w:rPr>
      </w:pPr>
      <w:r>
        <w:rPr>
          <w:snapToGrid w:val="0"/>
          <w:sz w:val="32"/>
          <w:szCs w:val="32"/>
          <w:lang w:val="en-US"/>
        </w:rPr>
        <w:t>[H</w:t>
      </w:r>
      <w:r>
        <w:rPr>
          <w:snapToGrid w:val="0"/>
          <w:sz w:val="32"/>
          <w:szCs w:val="32"/>
          <w:vertAlign w:val="superscript"/>
          <w:lang w:val="en-US"/>
        </w:rPr>
        <w:t>+</w:t>
      </w:r>
      <w:r>
        <w:rPr>
          <w:snapToGrid w:val="0"/>
          <w:sz w:val="32"/>
          <w:szCs w:val="32"/>
          <w:lang w:val="en-US"/>
        </w:rPr>
        <w:t>] = 10</w:t>
      </w:r>
      <w:r>
        <w:rPr>
          <w:snapToGrid w:val="0"/>
          <w:sz w:val="32"/>
          <w:szCs w:val="32"/>
          <w:vertAlign w:val="superscript"/>
          <w:lang w:val="en-US"/>
        </w:rPr>
        <w:t>-рН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Важнейшие буферные кислоты при физиологических концентрациях организма</w:t>
      </w:r>
      <w:r>
        <w:rPr>
          <w:snapToGrid w:val="0"/>
          <w:sz w:val="32"/>
          <w:szCs w:val="32"/>
        </w:rPr>
        <w:t xml:space="preserve"> представлены в табл.1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tabs>
          <w:tab w:val="left" w:pos="2948"/>
          <w:tab w:val="left" w:pos="5788"/>
          <w:tab w:val="left" w:pos="8628"/>
        </w:tabs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Доноры Н</w:t>
      </w:r>
      <w:r>
        <w:rPr>
          <w:snapToGrid w:val="0"/>
          <w:sz w:val="32"/>
          <w:szCs w:val="32"/>
          <w:vertAlign w:val="superscript"/>
        </w:rPr>
        <w:t xml:space="preserve">+  </w:t>
      </w:r>
      <w:r>
        <w:rPr>
          <w:snapToGrid w:val="0"/>
          <w:sz w:val="32"/>
          <w:szCs w:val="32"/>
        </w:rPr>
        <w:t>(сопряженные кислоты)</w:t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  <w:lang w:val="en-US"/>
        </w:rPr>
        <w:t>Протон</w:t>
      </w:r>
      <w:r>
        <w:rPr>
          <w:snapToGrid w:val="0"/>
          <w:sz w:val="32"/>
          <w:szCs w:val="32"/>
        </w:rPr>
        <w:tab/>
        <w:t>Акцепторы Н</w:t>
      </w:r>
      <w:r>
        <w:rPr>
          <w:snapToGrid w:val="0"/>
          <w:sz w:val="32"/>
          <w:szCs w:val="32"/>
          <w:vertAlign w:val="superscript"/>
        </w:rPr>
        <w:t>+</w:t>
      </w:r>
      <w:r>
        <w:rPr>
          <w:snapToGrid w:val="0"/>
          <w:sz w:val="32"/>
          <w:szCs w:val="32"/>
        </w:rPr>
        <w:t xml:space="preserve"> (сопряженные основания)</w:t>
      </w:r>
    </w:p>
    <w:p w:rsidR="00060EAF" w:rsidRDefault="00060EAF">
      <w:pPr>
        <w:widowControl w:val="0"/>
        <w:tabs>
          <w:tab w:val="left" w:pos="2948"/>
          <w:tab w:val="left" w:pos="5788"/>
          <w:tab w:val="left" w:pos="8628"/>
        </w:tabs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Н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СО</w:t>
      </w:r>
      <w:r>
        <w:rPr>
          <w:snapToGrid w:val="0"/>
          <w:sz w:val="32"/>
          <w:szCs w:val="32"/>
          <w:vertAlign w:val="subscript"/>
        </w:rPr>
        <w:t>3</w:t>
      </w:r>
      <w:r>
        <w:rPr>
          <w:snapToGrid w:val="0"/>
          <w:sz w:val="32"/>
          <w:szCs w:val="32"/>
          <w:vertAlign w:val="subscript"/>
          <w:lang w:val="en-US"/>
        </w:rPr>
        <w:t xml:space="preserve">             </w:t>
      </w:r>
      <w:r>
        <w:rPr>
          <w:snapToGrid w:val="0"/>
          <w:sz w:val="32"/>
          <w:szCs w:val="32"/>
          <w:lang w:val="en-US"/>
        </w:rPr>
        <w:t>↔</w:t>
      </w:r>
      <w:r>
        <w:rPr>
          <w:snapToGrid w:val="0"/>
          <w:sz w:val="32"/>
          <w:szCs w:val="32"/>
          <w:lang w:val="en-US"/>
        </w:rPr>
        <w:tab/>
      </w:r>
      <w:r>
        <w:rPr>
          <w:snapToGrid w:val="0"/>
          <w:sz w:val="32"/>
          <w:szCs w:val="32"/>
        </w:rPr>
        <w:t>Н</w:t>
      </w:r>
      <w:r>
        <w:rPr>
          <w:snapToGrid w:val="0"/>
          <w:sz w:val="32"/>
          <w:szCs w:val="32"/>
          <w:vertAlign w:val="superscript"/>
        </w:rPr>
        <w:t xml:space="preserve">+    </w:t>
      </w:r>
      <w:r>
        <w:rPr>
          <w:snapToGrid w:val="0"/>
          <w:sz w:val="32"/>
          <w:szCs w:val="32"/>
        </w:rPr>
        <w:t xml:space="preserve">              </w:t>
      </w:r>
      <w:r>
        <w:rPr>
          <w:snapToGrid w:val="0"/>
          <w:sz w:val="32"/>
          <w:szCs w:val="32"/>
          <w:lang w:val="en-US"/>
        </w:rPr>
        <w:t xml:space="preserve"> </w:t>
      </w:r>
      <w:r>
        <w:rPr>
          <w:snapToGrid w:val="0"/>
          <w:sz w:val="32"/>
          <w:szCs w:val="32"/>
        </w:rPr>
        <w:t>+</w:t>
      </w:r>
      <w:r>
        <w:rPr>
          <w:snapToGrid w:val="0"/>
          <w:sz w:val="32"/>
          <w:szCs w:val="32"/>
          <w:lang w:val="en-US"/>
        </w:rPr>
        <w:tab/>
        <w:t>НСО</w:t>
      </w:r>
      <w:r>
        <w:rPr>
          <w:snapToGrid w:val="0"/>
          <w:sz w:val="32"/>
          <w:szCs w:val="32"/>
          <w:vertAlign w:val="subscript"/>
        </w:rPr>
        <w:t>3</w:t>
      </w:r>
      <w:r>
        <w:rPr>
          <w:snapToGrid w:val="0"/>
          <w:sz w:val="32"/>
          <w:szCs w:val="32"/>
          <w:vertAlign w:val="superscript"/>
        </w:rPr>
        <w:t>Ї</w:t>
      </w:r>
    </w:p>
    <w:p w:rsidR="00060EAF" w:rsidRDefault="00060EAF">
      <w:pPr>
        <w:widowControl w:val="0"/>
        <w:tabs>
          <w:tab w:val="left" w:pos="2948"/>
          <w:tab w:val="left" w:pos="5788"/>
          <w:tab w:val="left" w:pos="8628"/>
        </w:tabs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Н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РО</w:t>
      </w:r>
      <w:r>
        <w:rPr>
          <w:snapToGrid w:val="0"/>
          <w:sz w:val="32"/>
          <w:szCs w:val="32"/>
          <w:vertAlign w:val="subscript"/>
        </w:rPr>
        <w:t>4</w:t>
      </w:r>
      <w:r>
        <w:rPr>
          <w:snapToGrid w:val="0"/>
          <w:sz w:val="32"/>
          <w:szCs w:val="32"/>
          <w:vertAlign w:val="subscript"/>
          <w:lang w:val="en-US"/>
        </w:rPr>
        <w:t xml:space="preserve">               </w:t>
      </w:r>
      <w:r>
        <w:rPr>
          <w:snapToGrid w:val="0"/>
          <w:sz w:val="32"/>
          <w:szCs w:val="32"/>
          <w:lang w:val="en-US"/>
        </w:rPr>
        <w:t>↔</w:t>
      </w:r>
      <w:r>
        <w:rPr>
          <w:snapToGrid w:val="0"/>
          <w:sz w:val="32"/>
          <w:szCs w:val="32"/>
          <w:lang w:val="en-US"/>
        </w:rPr>
        <w:tab/>
      </w:r>
      <w:r>
        <w:rPr>
          <w:snapToGrid w:val="0"/>
          <w:sz w:val="32"/>
          <w:szCs w:val="32"/>
        </w:rPr>
        <w:t>Н</w:t>
      </w:r>
      <w:r>
        <w:rPr>
          <w:snapToGrid w:val="0"/>
          <w:sz w:val="32"/>
          <w:szCs w:val="32"/>
          <w:vertAlign w:val="superscript"/>
        </w:rPr>
        <w:t xml:space="preserve">+                            </w:t>
      </w:r>
      <w:r>
        <w:rPr>
          <w:snapToGrid w:val="0"/>
          <w:sz w:val="32"/>
          <w:szCs w:val="32"/>
        </w:rPr>
        <w:t>+</w:t>
      </w:r>
      <w:r>
        <w:rPr>
          <w:snapToGrid w:val="0"/>
          <w:sz w:val="32"/>
          <w:szCs w:val="32"/>
        </w:rPr>
        <w:tab/>
        <w:t>НРО</w:t>
      </w:r>
      <w:r>
        <w:rPr>
          <w:snapToGrid w:val="0"/>
          <w:sz w:val="32"/>
          <w:szCs w:val="32"/>
          <w:vertAlign w:val="subscript"/>
        </w:rPr>
        <w:t>4</w:t>
      </w:r>
      <w:r>
        <w:rPr>
          <w:snapToGrid w:val="0"/>
          <w:sz w:val="32"/>
          <w:szCs w:val="32"/>
          <w:vertAlign w:val="superscript"/>
        </w:rPr>
        <w:t>Ї</w:t>
      </w:r>
    </w:p>
    <w:p w:rsidR="00060EAF" w:rsidRDefault="00060EAF">
      <w:pPr>
        <w:widowControl w:val="0"/>
        <w:tabs>
          <w:tab w:val="left" w:pos="2948"/>
          <w:tab w:val="left" w:pos="5788"/>
          <w:tab w:val="left" w:pos="8628"/>
        </w:tabs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Н·белок</w:t>
      </w:r>
      <w:r>
        <w:rPr>
          <w:snapToGrid w:val="0"/>
          <w:sz w:val="32"/>
          <w:szCs w:val="32"/>
          <w:lang w:val="en-US"/>
        </w:rPr>
        <w:t xml:space="preserve">      ↔</w:t>
      </w:r>
      <w:r>
        <w:rPr>
          <w:snapToGrid w:val="0"/>
          <w:sz w:val="32"/>
          <w:szCs w:val="32"/>
          <w:lang w:val="en-US"/>
        </w:rPr>
        <w:tab/>
      </w:r>
      <w:r>
        <w:rPr>
          <w:snapToGrid w:val="0"/>
          <w:sz w:val="32"/>
          <w:szCs w:val="32"/>
        </w:rPr>
        <w:t>Н</w:t>
      </w:r>
      <w:r>
        <w:rPr>
          <w:snapToGrid w:val="0"/>
          <w:sz w:val="32"/>
          <w:szCs w:val="32"/>
          <w:vertAlign w:val="superscript"/>
        </w:rPr>
        <w:t xml:space="preserve">+                            </w:t>
      </w:r>
      <w:r>
        <w:rPr>
          <w:snapToGrid w:val="0"/>
          <w:sz w:val="32"/>
          <w:szCs w:val="32"/>
        </w:rPr>
        <w:t>+</w:t>
      </w:r>
      <w:r>
        <w:rPr>
          <w:snapToGrid w:val="0"/>
          <w:sz w:val="32"/>
          <w:szCs w:val="32"/>
        </w:rPr>
        <w:tab/>
        <w:t>Кон.</w:t>
      </w:r>
      <w:r>
        <w:rPr>
          <w:snapToGrid w:val="0"/>
          <w:sz w:val="32"/>
          <w:szCs w:val="32"/>
          <w:lang w:val="en-US"/>
        </w:rPr>
        <w:t>белок</w:t>
      </w:r>
    </w:p>
    <w:p w:rsidR="00060EAF" w:rsidRDefault="00060EAF">
      <w:pPr>
        <w:widowControl w:val="0"/>
        <w:tabs>
          <w:tab w:val="left" w:pos="2948"/>
          <w:tab w:val="left" w:pos="5788"/>
          <w:tab w:val="left" w:pos="8628"/>
        </w:tabs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Н</w:t>
      </w:r>
      <w:r>
        <w:rPr>
          <w:snapToGrid w:val="0"/>
          <w:sz w:val="32"/>
          <w:szCs w:val="32"/>
          <w:lang w:val="en-US"/>
        </w:rPr>
        <w:t>Н</w:t>
      </w:r>
      <w:r>
        <w:rPr>
          <w:snapToGrid w:val="0"/>
          <w:sz w:val="32"/>
          <w:szCs w:val="32"/>
        </w:rPr>
        <w:t>bO</w:t>
      </w:r>
      <w:r>
        <w:rPr>
          <w:snapToGrid w:val="0"/>
          <w:sz w:val="32"/>
          <w:szCs w:val="32"/>
          <w:vertAlign w:val="subscript"/>
          <w:lang w:val="en-US"/>
        </w:rPr>
        <w:t xml:space="preserve">2 </w:t>
      </w:r>
      <w:r>
        <w:rPr>
          <w:snapToGrid w:val="0"/>
          <w:sz w:val="32"/>
          <w:szCs w:val="32"/>
          <w:lang w:val="en-US"/>
        </w:rPr>
        <w:t xml:space="preserve">       ↔</w:t>
      </w:r>
      <w:r>
        <w:rPr>
          <w:snapToGrid w:val="0"/>
          <w:sz w:val="32"/>
          <w:szCs w:val="32"/>
          <w:lang w:val="en-US"/>
        </w:rPr>
        <w:tab/>
      </w:r>
      <w:r>
        <w:rPr>
          <w:snapToGrid w:val="0"/>
          <w:sz w:val="32"/>
          <w:szCs w:val="32"/>
        </w:rPr>
        <w:t>Н</w:t>
      </w:r>
      <w:r>
        <w:rPr>
          <w:snapToGrid w:val="0"/>
          <w:sz w:val="32"/>
          <w:szCs w:val="32"/>
          <w:vertAlign w:val="superscript"/>
        </w:rPr>
        <w:t xml:space="preserve">+                            </w:t>
      </w:r>
      <w:r>
        <w:rPr>
          <w:snapToGrid w:val="0"/>
          <w:sz w:val="32"/>
          <w:szCs w:val="32"/>
        </w:rPr>
        <w:t xml:space="preserve">+ </w:t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  <w:lang w:val="en-US"/>
        </w:rPr>
        <w:t>HbO</w:t>
      </w:r>
      <w:r>
        <w:rPr>
          <w:snapToGrid w:val="0"/>
          <w:sz w:val="32"/>
          <w:szCs w:val="32"/>
          <w:vertAlign w:val="subscript"/>
          <w:lang w:val="en-US"/>
        </w:rPr>
        <w:t>2</w:t>
      </w:r>
    </w:p>
    <w:p w:rsidR="00060EAF" w:rsidRDefault="00060EAF">
      <w:pPr>
        <w:widowControl w:val="0"/>
        <w:tabs>
          <w:tab w:val="left" w:pos="2948"/>
          <w:tab w:val="left" w:pos="5788"/>
          <w:tab w:val="left" w:pos="8628"/>
        </w:tabs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ННb</w:t>
      </w:r>
      <w:r>
        <w:rPr>
          <w:snapToGrid w:val="0"/>
          <w:sz w:val="32"/>
          <w:szCs w:val="32"/>
          <w:lang w:val="en-US"/>
        </w:rPr>
        <w:t xml:space="preserve">            ↔</w:t>
      </w:r>
      <w:r>
        <w:rPr>
          <w:snapToGrid w:val="0"/>
          <w:sz w:val="32"/>
          <w:szCs w:val="32"/>
          <w:lang w:val="en-US"/>
        </w:rPr>
        <w:tab/>
      </w:r>
      <w:r>
        <w:rPr>
          <w:snapToGrid w:val="0"/>
          <w:sz w:val="32"/>
          <w:szCs w:val="32"/>
        </w:rPr>
        <w:t>Н</w:t>
      </w:r>
      <w:r>
        <w:rPr>
          <w:snapToGrid w:val="0"/>
          <w:sz w:val="32"/>
          <w:szCs w:val="32"/>
          <w:vertAlign w:val="superscript"/>
        </w:rPr>
        <w:t xml:space="preserve">+                            </w:t>
      </w:r>
      <w:r>
        <w:rPr>
          <w:snapToGrid w:val="0"/>
          <w:sz w:val="32"/>
          <w:szCs w:val="32"/>
        </w:rPr>
        <w:t>+</w:t>
      </w:r>
      <w:r>
        <w:rPr>
          <w:snapToGrid w:val="0"/>
          <w:sz w:val="32"/>
          <w:szCs w:val="32"/>
        </w:rPr>
        <w:tab/>
      </w:r>
      <w:r>
        <w:rPr>
          <w:snapToGrid w:val="0"/>
          <w:sz w:val="32"/>
          <w:szCs w:val="32"/>
          <w:lang w:val="en-US"/>
        </w:rPr>
        <w:t>Hb</w:t>
      </w:r>
      <w:r>
        <w:rPr>
          <w:snapToGrid w:val="0"/>
          <w:sz w:val="32"/>
          <w:szCs w:val="32"/>
          <w:vertAlign w:val="superscript"/>
          <w:lang w:val="en-US"/>
        </w:rPr>
        <w:t>Ї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Сопряженные кислоты могут быть как анионами, так и катитонами, сопряженные основания обычно анионы</w:t>
      </w:r>
      <w:r>
        <w:rPr>
          <w:snapToGrid w:val="0"/>
          <w:sz w:val="32"/>
          <w:szCs w:val="32"/>
          <w:lang w:val="en-US"/>
        </w:rPr>
        <w:t xml:space="preserve"> </w:t>
      </w:r>
      <w:r>
        <w:rPr>
          <w:snapToGrid w:val="0"/>
          <w:sz w:val="32"/>
          <w:szCs w:val="32"/>
        </w:rPr>
        <w:t>;</w:t>
      </w:r>
      <w:r>
        <w:rPr>
          <w:snapToGrid w:val="0"/>
          <w:sz w:val="32"/>
          <w:szCs w:val="32"/>
          <w:lang w:val="en-US"/>
        </w:rPr>
        <w:t xml:space="preserve">  НСО</w:t>
      </w:r>
      <w:r>
        <w:rPr>
          <w:snapToGrid w:val="0"/>
          <w:sz w:val="32"/>
          <w:szCs w:val="32"/>
          <w:vertAlign w:val="subscript"/>
          <w:lang w:val="en-US"/>
        </w:rPr>
        <w:t>3</w:t>
      </w:r>
      <w:r>
        <w:rPr>
          <w:snapToGrid w:val="0"/>
          <w:sz w:val="32"/>
          <w:szCs w:val="32"/>
          <w:vertAlign w:val="superscript"/>
        </w:rPr>
        <w:t xml:space="preserve">Ї  </w:t>
      </w:r>
      <w:r>
        <w:rPr>
          <w:snapToGrid w:val="0"/>
          <w:sz w:val="32"/>
          <w:szCs w:val="32"/>
        </w:rPr>
        <w:t>- сопряженное основание способно стать и кислотой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2. РН.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</w:rPr>
        <w:t>Кислотность или основность раствора зависит от содержания в нем свободных ионов водорода</w:t>
      </w:r>
      <w:r>
        <w:rPr>
          <w:snapToGrid w:val="0"/>
          <w:sz w:val="32"/>
          <w:szCs w:val="32"/>
          <w:lang w:val="en-US"/>
        </w:rPr>
        <w:t>. По</w:t>
      </w:r>
      <w:r>
        <w:rPr>
          <w:snapToGrid w:val="0"/>
          <w:sz w:val="32"/>
          <w:szCs w:val="32"/>
        </w:rPr>
        <w:t xml:space="preserve"> определению рН представляет собой отрицательный десятичный логарифм молярной концентрации ионов  Н</w:t>
      </w:r>
      <w:r>
        <w:rPr>
          <w:snapToGrid w:val="0"/>
          <w:sz w:val="32"/>
          <w:szCs w:val="32"/>
          <w:vertAlign w:val="superscript"/>
        </w:rPr>
        <w:t>+</w:t>
      </w:r>
      <w:r>
        <w:rPr>
          <w:snapToGrid w:val="0"/>
          <w:sz w:val="32"/>
          <w:szCs w:val="32"/>
          <w:lang w:val="en-US"/>
        </w:rPr>
        <w:t xml:space="preserve">. РН </w:t>
      </w:r>
      <w:r>
        <w:rPr>
          <w:snapToGrid w:val="0"/>
          <w:sz w:val="32"/>
          <w:szCs w:val="32"/>
        </w:rPr>
        <w:t>-это неисчисляемая величина и не может трактоваться так</w:t>
      </w:r>
      <w:r>
        <w:rPr>
          <w:snapToGrid w:val="0"/>
          <w:sz w:val="32"/>
          <w:szCs w:val="32"/>
          <w:lang w:val="en-US"/>
        </w:rPr>
        <w:t>: ее нельзя предста</w:t>
      </w:r>
      <w:r>
        <w:rPr>
          <w:snapToGrid w:val="0"/>
          <w:sz w:val="32"/>
          <w:szCs w:val="32"/>
        </w:rPr>
        <w:t>вить  в концентрационных единицах или как “концентрация рН”</w:t>
      </w:r>
      <w:r>
        <w:rPr>
          <w:snapToGrid w:val="0"/>
          <w:sz w:val="32"/>
          <w:szCs w:val="32"/>
          <w:lang w:val="en-US"/>
        </w:rPr>
        <w:t>.  Реально это величина, обратная концентрапции, логарифм которой  представляет рН как отношение объема к эквиваленту, т.е. это логарифмическое выражение объема, содержащего  1экв Н</w:t>
      </w:r>
      <w:r>
        <w:rPr>
          <w:snapToGrid w:val="0"/>
          <w:sz w:val="32"/>
          <w:szCs w:val="32"/>
          <w:vertAlign w:val="superscript"/>
          <w:lang w:val="en-US"/>
        </w:rPr>
        <w:t>+</w:t>
      </w:r>
      <w:r>
        <w:rPr>
          <w:snapToGrid w:val="0"/>
          <w:sz w:val="32"/>
          <w:szCs w:val="32"/>
          <w:lang w:val="en-US"/>
        </w:rPr>
        <w:t>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  <w:lang w:val="en-US"/>
        </w:rPr>
        <w:t>У чел</w:t>
      </w:r>
      <w:r>
        <w:rPr>
          <w:snapToGrid w:val="0"/>
          <w:sz w:val="32"/>
          <w:szCs w:val="32"/>
        </w:rPr>
        <w:t>овеческой плазмы с рН=7,4 ( т.е. [</w:t>
      </w:r>
      <w:r>
        <w:rPr>
          <w:snapToGrid w:val="0"/>
          <w:sz w:val="32"/>
          <w:szCs w:val="32"/>
          <w:lang w:val="en-US"/>
        </w:rPr>
        <w:t>H</w:t>
      </w:r>
      <w:r>
        <w:rPr>
          <w:snapToGrid w:val="0"/>
          <w:sz w:val="32"/>
          <w:szCs w:val="32"/>
          <w:vertAlign w:val="superscript"/>
          <w:lang w:val="en-US"/>
        </w:rPr>
        <w:t>+</w:t>
      </w:r>
      <w:r>
        <w:rPr>
          <w:snapToGrid w:val="0"/>
          <w:sz w:val="32"/>
          <w:szCs w:val="32"/>
          <w:lang w:val="en-US"/>
        </w:rPr>
        <w:t>] = 40</w:t>
      </w:r>
      <w:r>
        <w:rPr>
          <w:snapToGrid w:val="0"/>
          <w:sz w:val="32"/>
          <w:szCs w:val="32"/>
        </w:rPr>
        <w:t>· 10 моль (экв</w:t>
      </w:r>
      <w:r>
        <w:rPr>
          <w:snapToGrid w:val="0"/>
          <w:sz w:val="32"/>
          <w:szCs w:val="32"/>
          <w:lang w:val="en-US"/>
        </w:rPr>
        <w:t>/л). Этот объем равен 25 мл</w:t>
      </w:r>
      <w:r>
        <w:rPr>
          <w:snapToGrid w:val="0"/>
          <w:sz w:val="32"/>
          <w:szCs w:val="32"/>
        </w:rPr>
        <w:t>н. литров.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Т.к.  рН - логарифмическое выражение [H</w:t>
      </w:r>
      <w:r>
        <w:rPr>
          <w:snapToGrid w:val="0"/>
          <w:sz w:val="32"/>
          <w:szCs w:val="32"/>
          <w:vertAlign w:val="superscript"/>
          <w:lang w:val="en-US"/>
        </w:rPr>
        <w:t>+</w:t>
      </w:r>
      <w:r>
        <w:rPr>
          <w:snapToGrid w:val="0"/>
          <w:sz w:val="32"/>
          <w:szCs w:val="32"/>
          <w:lang w:val="en-US"/>
        </w:rPr>
        <w:t xml:space="preserve">] , что позволяет </w:t>
      </w:r>
      <w:r>
        <w:rPr>
          <w:snapToGrid w:val="0"/>
          <w:sz w:val="32"/>
          <w:szCs w:val="32"/>
        </w:rPr>
        <w:t>графически выразить широкий ряд значений [H</w:t>
      </w:r>
      <w:r>
        <w:rPr>
          <w:snapToGrid w:val="0"/>
          <w:sz w:val="32"/>
          <w:szCs w:val="32"/>
          <w:vertAlign w:val="superscript"/>
          <w:lang w:val="en-US"/>
        </w:rPr>
        <w:t>+</w:t>
      </w:r>
      <w:r>
        <w:rPr>
          <w:snapToGrid w:val="0"/>
          <w:sz w:val="32"/>
          <w:szCs w:val="32"/>
          <w:lang w:val="en-US"/>
        </w:rPr>
        <w:t>]. Очень важно указать,  что рН и [H</w:t>
      </w:r>
      <w:r>
        <w:rPr>
          <w:snapToGrid w:val="0"/>
          <w:sz w:val="32"/>
          <w:szCs w:val="32"/>
          <w:vertAlign w:val="superscript"/>
          <w:lang w:val="en-US"/>
        </w:rPr>
        <w:t>+</w:t>
      </w:r>
      <w:r>
        <w:rPr>
          <w:snapToGrid w:val="0"/>
          <w:sz w:val="32"/>
          <w:szCs w:val="32"/>
          <w:lang w:val="en-US"/>
        </w:rPr>
        <w:t>]  находятся в обратно пропорциональных отн</w:t>
      </w:r>
      <w:r>
        <w:rPr>
          <w:snapToGrid w:val="0"/>
          <w:sz w:val="32"/>
          <w:szCs w:val="32"/>
        </w:rPr>
        <w:t xml:space="preserve">ошениях. </w:t>
      </w:r>
      <w:r>
        <w:rPr>
          <w:snapToGrid w:val="0"/>
          <w:sz w:val="32"/>
          <w:szCs w:val="32"/>
          <w:lang w:val="en-US"/>
        </w:rPr>
        <w:t xml:space="preserve">Другим преимуществом  концепции </w:t>
      </w:r>
      <w:r>
        <w:rPr>
          <w:snapToGrid w:val="0"/>
          <w:sz w:val="32"/>
          <w:szCs w:val="32"/>
        </w:rPr>
        <w:t xml:space="preserve">рН является то, что когда известна рК буфера, сразу же можно определить  пределы рН для этого буфера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Недостатком системы рН  является  то, что приходиться использовать логарифмы для определения [H</w:t>
      </w:r>
      <w:r>
        <w:rPr>
          <w:snapToGrid w:val="0"/>
          <w:sz w:val="32"/>
          <w:szCs w:val="32"/>
          <w:vertAlign w:val="superscript"/>
          <w:lang w:val="en-US"/>
        </w:rPr>
        <w:t>+</w:t>
      </w:r>
      <w:r>
        <w:rPr>
          <w:snapToGrid w:val="0"/>
          <w:sz w:val="32"/>
          <w:szCs w:val="32"/>
          <w:lang w:val="en-US"/>
        </w:rPr>
        <w:t>]. Например, невозможно сразу  определить, что уменьшение рН с 7,4 до 7,6 означает удвоение [H</w:t>
      </w:r>
      <w:r>
        <w:rPr>
          <w:snapToGrid w:val="0"/>
          <w:sz w:val="32"/>
          <w:szCs w:val="32"/>
          <w:vertAlign w:val="superscript"/>
          <w:lang w:val="en-US"/>
        </w:rPr>
        <w:t>+</w:t>
      </w:r>
      <w:r>
        <w:rPr>
          <w:snapToGrid w:val="0"/>
          <w:sz w:val="32"/>
          <w:szCs w:val="32"/>
        </w:rPr>
        <w:t>] с 40 нмоль/л  до 80 нмоль/</w:t>
      </w:r>
      <w:r>
        <w:rPr>
          <w:snapToGrid w:val="0"/>
          <w:sz w:val="32"/>
          <w:szCs w:val="32"/>
          <w:lang w:val="en-US"/>
        </w:rPr>
        <w:t>л.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1.</w:t>
      </w:r>
      <w:r>
        <w:rPr>
          <w:snapToGrid w:val="0"/>
          <w:sz w:val="32"/>
          <w:szCs w:val="32"/>
          <w:lang w:val="en-US"/>
        </w:rPr>
        <w:tab/>
        <w:t>Измерение рН.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  <w:lang w:val="en-US"/>
        </w:rPr>
        <w:t>Для более точного и непрерывного измерения рН широко применяется электрометрическая регистрация ( прибор рН-метр) с помощью стеклянного электрода. Такой электрод обычно имеет шарообразно расширенный конец из специального стекла, пропускающего ионы Н</w:t>
      </w:r>
      <w:r>
        <w:rPr>
          <w:snapToGrid w:val="0"/>
          <w:sz w:val="32"/>
          <w:szCs w:val="32"/>
          <w:vertAlign w:val="superscript"/>
          <w:lang w:val="en-US"/>
        </w:rPr>
        <w:t>+</w:t>
      </w:r>
      <w:r>
        <w:rPr>
          <w:snapToGrid w:val="0"/>
          <w:sz w:val="32"/>
          <w:szCs w:val="32"/>
          <w:lang w:val="en-US"/>
        </w:rPr>
        <w:t xml:space="preserve">. Внутри электрод заполнен буферным раствором. При погружении в раствор по две стороны стеклянной мембраны создается разность потенциалов, величина которой в соответствии с уравнением Нернста :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Е</w:t>
      </w:r>
      <w:r>
        <w:rPr>
          <w:snapToGrid w:val="0"/>
          <w:sz w:val="32"/>
          <w:szCs w:val="32"/>
          <w:vertAlign w:val="subscript"/>
          <w:lang w:val="en-US"/>
        </w:rPr>
        <w:t>ion</w:t>
      </w:r>
      <w:r>
        <w:rPr>
          <w:snapToGrid w:val="0"/>
          <w:sz w:val="32"/>
          <w:szCs w:val="32"/>
          <w:lang w:val="en-US"/>
        </w:rPr>
        <w:t xml:space="preserve"> =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Зависит от рН  исследуемого раствора. Эта разность потенциалов фиксируется с помощью неполяризующегося электрода. В настоящее время в рН-метрах  используют простые в обращении датчики, в которых измерительный электрод и электрод сравнения заключены на шкалу или электронное табло. Перед началом измерения прибор должен быть откалиброван при помощи стандартных буферных растворов.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2.</w:t>
      </w:r>
      <w:r>
        <w:rPr>
          <w:snapToGrid w:val="0"/>
          <w:sz w:val="32"/>
          <w:szCs w:val="32"/>
        </w:rPr>
        <w:tab/>
        <w:t>Постоянство рН артериальной крови.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РН артериальной крови человека ( при 37</w:t>
      </w:r>
      <w:r>
        <w:rPr>
          <w:rFonts w:ascii="Symbol" w:hAnsi="Symbol" w:cs="Symbol"/>
          <w:snapToGrid w:val="0"/>
          <w:sz w:val="32"/>
          <w:szCs w:val="32"/>
        </w:rPr>
        <w:t></w:t>
      </w:r>
      <w:r>
        <w:rPr>
          <w:snapToGrid w:val="0"/>
          <w:sz w:val="32"/>
          <w:szCs w:val="32"/>
        </w:rPr>
        <w:t>С )  колеблется от 7,37 до 7,43, составляя в среднем 7,4. Необходимо уточнить, что эти значения характерны для плазмы крови (стеклянный электрод, погруженный в кровь, соприкасается именно с плазмой ). В эритротроцитах величину рН измерить трудно. Как было установлено, внутри эритроцита она составляет примерно 7,2-7,3 , т.е.  отличается от рН плазмы. Как правило, термин “рН крови” относится к рН плазмы.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Характерная для крови человека слабощелочная реакция поддерживается в очень узких пределах, несмотря на постоянно изменяющееся поступление в кровь кислых продуктов метаболизма. Такое постоянство кислых продуктов чрезвычайно важно для правильного протекания обменных процессов в клетках, т.к. деятельность всех ферментов, участвующих в метаболизме зависит от рН. При патологических сдвигах рН крови активность разных ферментов изменяется в разной степени, и в результате точное взаимодействие между реакциями обмена может нарушиться. В регуляции КЩР участвует несколько механизмов, к ним относятся буферные свойства крови, газообмен в легких и выделительная функция почек.</w:t>
      </w:r>
    </w:p>
    <w:p w:rsidR="00060EAF" w:rsidRDefault="00060EAF">
      <w:pPr>
        <w:widowControl w:val="0"/>
        <w:jc w:val="both"/>
        <w:rPr>
          <w:b/>
          <w:bCs/>
          <w:snapToGrid w:val="0"/>
          <w:sz w:val="40"/>
          <w:szCs w:val="40"/>
        </w:rPr>
      </w:pPr>
      <w:r>
        <w:rPr>
          <w:rFonts w:ascii="Symbol" w:hAnsi="Symbol" w:cs="Symbol"/>
          <w:b/>
          <w:bCs/>
          <w:snapToGrid w:val="0"/>
          <w:sz w:val="40"/>
          <w:szCs w:val="40"/>
        </w:rPr>
        <w:t></w:t>
      </w:r>
      <w:r>
        <w:rPr>
          <w:rFonts w:ascii="Symbol" w:hAnsi="Symbol" w:cs="Symbol"/>
          <w:b/>
          <w:bCs/>
          <w:snapToGrid w:val="0"/>
          <w:sz w:val="40"/>
          <w:szCs w:val="40"/>
        </w:rPr>
        <w:t></w:t>
      </w:r>
      <w:r>
        <w:rPr>
          <w:rFonts w:ascii="Symbol" w:hAnsi="Symbol" w:cs="Symbol"/>
          <w:b/>
          <w:bCs/>
          <w:snapToGrid w:val="0"/>
          <w:sz w:val="40"/>
          <w:szCs w:val="40"/>
        </w:rPr>
        <w:t></w:t>
      </w:r>
      <w:r>
        <w:rPr>
          <w:b/>
          <w:bCs/>
          <w:snapToGrid w:val="0"/>
          <w:sz w:val="40"/>
          <w:szCs w:val="40"/>
        </w:rPr>
        <w:t xml:space="preserve">. Буферные свойства крови </w:t>
      </w:r>
    </w:p>
    <w:p w:rsidR="00060EAF" w:rsidRDefault="00060EAF">
      <w:pPr>
        <w:widowControl w:val="0"/>
        <w:jc w:val="both"/>
        <w:rPr>
          <w:b/>
          <w:bCs/>
          <w:snapToGrid w:val="0"/>
          <w:sz w:val="40"/>
          <w:szCs w:val="40"/>
        </w:rPr>
      </w:pPr>
      <w:r>
        <w:rPr>
          <w:b/>
          <w:bCs/>
          <w:snapToGrid w:val="0"/>
          <w:sz w:val="40"/>
          <w:szCs w:val="40"/>
        </w:rPr>
        <w:t xml:space="preserve">  </w:t>
      </w:r>
    </w:p>
    <w:p w:rsidR="00060EAF" w:rsidRDefault="00060EAF">
      <w:pPr>
        <w:widowControl w:val="0"/>
        <w:jc w:val="both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Гидрокарбонатный буфер.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В крови существует целый ряд буферных систем. Рассмотрим  гидрокарбонатную систему. Она состоит из относительно слабой угольной кислоты, образующей при гидратации 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 сопряженного</w:t>
      </w:r>
      <w:r>
        <w:rPr>
          <w:snapToGrid w:val="0"/>
          <w:sz w:val="32"/>
          <w:szCs w:val="32"/>
          <w:vertAlign w:val="subscript"/>
        </w:rPr>
        <w:t xml:space="preserve"> </w:t>
      </w:r>
      <w:r>
        <w:rPr>
          <w:snapToGrid w:val="0"/>
          <w:sz w:val="32"/>
          <w:szCs w:val="32"/>
        </w:rPr>
        <w:t xml:space="preserve">основания - гидрокарбоната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vertAlign w:val="superscript"/>
        </w:rPr>
      </w:pPr>
      <w:r>
        <w:rPr>
          <w:snapToGrid w:val="0"/>
          <w:sz w:val="32"/>
          <w:szCs w:val="32"/>
        </w:rPr>
        <w:t>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 +Н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О - Н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СО</w:t>
      </w:r>
      <w:r>
        <w:rPr>
          <w:snapToGrid w:val="0"/>
          <w:sz w:val="32"/>
          <w:szCs w:val="32"/>
          <w:vertAlign w:val="subscript"/>
        </w:rPr>
        <w:t xml:space="preserve">3 </w:t>
      </w:r>
      <w:r>
        <w:rPr>
          <w:snapToGrid w:val="0"/>
          <w:sz w:val="32"/>
          <w:szCs w:val="32"/>
        </w:rPr>
        <w:t>- Н</w:t>
      </w:r>
      <w:r>
        <w:rPr>
          <w:snapToGrid w:val="0"/>
          <w:sz w:val="32"/>
          <w:szCs w:val="32"/>
          <w:vertAlign w:val="superscript"/>
        </w:rPr>
        <w:t>+</w:t>
      </w:r>
      <w:r>
        <w:rPr>
          <w:snapToGrid w:val="0"/>
          <w:sz w:val="32"/>
          <w:szCs w:val="32"/>
        </w:rPr>
        <w:t xml:space="preserve"> + НСО</w:t>
      </w:r>
      <w:r>
        <w:rPr>
          <w:snapToGrid w:val="0"/>
          <w:sz w:val="32"/>
          <w:szCs w:val="32"/>
          <w:vertAlign w:val="subscript"/>
        </w:rPr>
        <w:t>3</w:t>
      </w:r>
      <w:r>
        <w:rPr>
          <w:snapToGrid w:val="0"/>
          <w:sz w:val="32"/>
          <w:szCs w:val="32"/>
          <w:vertAlign w:val="superscript"/>
        </w:rPr>
        <w:t>Ї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Уравнение Гендерсона-Гассельбаха для этой реакции имеет вид </w:t>
      </w:r>
      <w:r>
        <w:rPr>
          <w:snapToGrid w:val="0"/>
          <w:sz w:val="32"/>
          <w:szCs w:val="32"/>
          <w:lang w:val="en-US"/>
        </w:rPr>
        <w:t xml:space="preserve">: </w:t>
      </w:r>
      <w:r>
        <w:rPr>
          <w:snapToGrid w:val="0"/>
          <w:sz w:val="32"/>
          <w:szCs w:val="32"/>
        </w:rPr>
        <w:t xml:space="preserve">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</w:rPr>
        <w:t>РН = рК</w:t>
      </w:r>
      <w:r>
        <w:rPr>
          <w:snapToGrid w:val="0"/>
          <w:sz w:val="32"/>
          <w:szCs w:val="32"/>
          <w:vertAlign w:val="superscript"/>
        </w:rPr>
        <w:t xml:space="preserve">' </w:t>
      </w:r>
      <w:r>
        <w:rPr>
          <w:snapToGrid w:val="0"/>
          <w:sz w:val="32"/>
          <w:szCs w:val="32"/>
        </w:rPr>
        <w:t xml:space="preserve">+ </w:t>
      </w:r>
      <w:r>
        <w:rPr>
          <w:snapToGrid w:val="0"/>
          <w:sz w:val="32"/>
          <w:szCs w:val="32"/>
          <w:lang w:val="en-US"/>
        </w:rPr>
        <w:t xml:space="preserve">lg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При ионной силе плазмы рК</w:t>
      </w:r>
      <w:r>
        <w:rPr>
          <w:snapToGrid w:val="0"/>
          <w:sz w:val="32"/>
          <w:szCs w:val="32"/>
          <w:vertAlign w:val="superscript"/>
        </w:rPr>
        <w:t>'</w:t>
      </w:r>
      <w:r>
        <w:rPr>
          <w:snapToGrid w:val="0"/>
          <w:sz w:val="32"/>
          <w:szCs w:val="32"/>
        </w:rPr>
        <w:t xml:space="preserve"> составляет 6,1. Казалось бы, при таком различии между рК ' и рН крови (7,4) емкость гидрокарбонатного буфера должна быть невелика. Однако, на самом деле, гидрокарбонатная система играет большую роль в создании общей буферной емкости крови, т.к. буферный эффект этой системы существенно увеличивается благодаря ее тесной связи с дыханием. Механизмы, направленные на поддержание напряжения 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 в артериальной крови способствуют созданию высокой концентрации НСО</w:t>
      </w:r>
      <w:r>
        <w:rPr>
          <w:snapToGrid w:val="0"/>
          <w:sz w:val="32"/>
          <w:szCs w:val="32"/>
          <w:vertAlign w:val="subscript"/>
        </w:rPr>
        <w:t>3</w:t>
      </w:r>
      <w:r>
        <w:rPr>
          <w:snapToGrid w:val="0"/>
          <w:sz w:val="32"/>
          <w:szCs w:val="32"/>
          <w:vertAlign w:val="superscript"/>
        </w:rPr>
        <w:t>Ї</w:t>
      </w:r>
      <w:r>
        <w:rPr>
          <w:snapToGrid w:val="0"/>
          <w:sz w:val="32"/>
          <w:szCs w:val="32"/>
        </w:rPr>
        <w:t xml:space="preserve"> в плазме. Поддерживая напряжение 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 в крови, дыхательная система обеспечивает высокое содержание буферных соединений.</w:t>
      </w:r>
    </w:p>
    <w:p w:rsidR="00060EAF" w:rsidRDefault="00060EAF">
      <w:pPr>
        <w:keepNext/>
        <w:widowControl w:val="0"/>
        <w:jc w:val="both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 xml:space="preserve">Фосфатный буфер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</w:rPr>
        <w:t>Фосфатная буферная система образована неорганическими фосфатами в крови. Состоит из слабой кислоты  Н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РО</w:t>
      </w:r>
      <w:r>
        <w:rPr>
          <w:snapToGrid w:val="0"/>
          <w:sz w:val="32"/>
          <w:szCs w:val="32"/>
          <w:vertAlign w:val="subscript"/>
        </w:rPr>
        <w:t>4</w:t>
      </w:r>
      <w:r>
        <w:rPr>
          <w:snapToGrid w:val="0"/>
          <w:sz w:val="32"/>
          <w:szCs w:val="32"/>
          <w:vertAlign w:val="superscript"/>
        </w:rPr>
        <w:t>Ї</w:t>
      </w:r>
      <w:r>
        <w:rPr>
          <w:snapToGrid w:val="0"/>
          <w:sz w:val="32"/>
          <w:szCs w:val="32"/>
        </w:rPr>
        <w:t xml:space="preserve"> сопряженного основания НРО</w:t>
      </w:r>
      <w:r>
        <w:rPr>
          <w:snapToGrid w:val="0"/>
          <w:sz w:val="32"/>
          <w:szCs w:val="32"/>
          <w:vertAlign w:val="superscript"/>
        </w:rPr>
        <w:t>2Ї</w:t>
      </w:r>
      <w:r>
        <w:rPr>
          <w:snapToGrid w:val="0"/>
          <w:sz w:val="32"/>
          <w:szCs w:val="32"/>
        </w:rPr>
        <w:t xml:space="preserve">. В основе ее действия лежит КЩР </w:t>
      </w:r>
      <w:r>
        <w:rPr>
          <w:snapToGrid w:val="0"/>
          <w:sz w:val="32"/>
          <w:szCs w:val="32"/>
          <w:lang w:val="en-US"/>
        </w:rPr>
        <w:t>: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Н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РО</w:t>
      </w:r>
      <w:r>
        <w:rPr>
          <w:snapToGrid w:val="0"/>
          <w:sz w:val="32"/>
          <w:szCs w:val="32"/>
          <w:vertAlign w:val="subscript"/>
        </w:rPr>
        <w:t>4</w:t>
      </w:r>
      <w:r>
        <w:rPr>
          <w:snapToGrid w:val="0"/>
          <w:sz w:val="32"/>
          <w:szCs w:val="32"/>
          <w:vertAlign w:val="superscript"/>
        </w:rPr>
        <w:t>Ї</w:t>
      </w:r>
      <w:r>
        <w:rPr>
          <w:snapToGrid w:val="0"/>
          <w:sz w:val="32"/>
          <w:szCs w:val="32"/>
        </w:rPr>
        <w:t xml:space="preserve"> - Н</w:t>
      </w:r>
      <w:r>
        <w:rPr>
          <w:snapToGrid w:val="0"/>
          <w:sz w:val="32"/>
          <w:szCs w:val="32"/>
          <w:vertAlign w:val="superscript"/>
        </w:rPr>
        <w:t xml:space="preserve">+ </w:t>
      </w:r>
      <w:r>
        <w:rPr>
          <w:snapToGrid w:val="0"/>
          <w:sz w:val="32"/>
          <w:szCs w:val="32"/>
        </w:rPr>
        <w:t>+ НРО</w:t>
      </w:r>
      <w:r>
        <w:rPr>
          <w:snapToGrid w:val="0"/>
          <w:sz w:val="32"/>
          <w:szCs w:val="32"/>
          <w:vertAlign w:val="subscript"/>
        </w:rPr>
        <w:t>4</w:t>
      </w:r>
      <w:r>
        <w:rPr>
          <w:snapToGrid w:val="0"/>
          <w:sz w:val="32"/>
          <w:szCs w:val="32"/>
          <w:vertAlign w:val="superscript"/>
        </w:rPr>
        <w:t xml:space="preserve">Ї  </w:t>
      </w:r>
      <w:r>
        <w:rPr>
          <w:snapToGrid w:val="0"/>
          <w:sz w:val="32"/>
          <w:szCs w:val="32"/>
        </w:rPr>
        <w:t>. Эта буферная система способна сопротивляться изменению рН в интервале 6,2- 8,2, т.е. обеспечивает значительную долю буферной емкости  крови. рК' фосфатного буфера (6,8). сравнительно близка к рН   крови, однако, емкость данного буфера невелика в связи с низким содержанием фосфата в крови.</w:t>
      </w:r>
    </w:p>
    <w:p w:rsidR="00060EAF" w:rsidRDefault="00060EAF">
      <w:pPr>
        <w:keepNext/>
        <w:widowControl w:val="0"/>
        <w:jc w:val="both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 xml:space="preserve">Белковый буфер   </w:t>
      </w: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Особенное значение гемоглобиновой буферной системы заключается в том, что кислотность гемоглобина зависит от степени его оксигенации. Эта зависимость отражена на рис.2</w:t>
      </w: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rPr>
          <w:snapToGrid w:val="0"/>
          <w:sz w:val="28"/>
          <w:szCs w:val="28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На этом рисунке приведены буферные кривые недиффундирующих буферных систем эритроцитов, красная кривая соответствует оксигенированному, а черная - дезоксигенированному состоянию гемоглобина. Видно, что при нормальных пределах рН оксигемоглобина является более сильной кислотой, чем дезоксигемоглобин. Такая разница обусловлена влиянием 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 , связанного с  </w:t>
      </w:r>
      <w:r>
        <w:rPr>
          <w:snapToGrid w:val="0"/>
          <w:sz w:val="32"/>
          <w:szCs w:val="32"/>
          <w:lang w:val="en-US"/>
        </w:rPr>
        <w:t>Fe</w:t>
      </w:r>
      <w:r>
        <w:rPr>
          <w:snapToGrid w:val="0"/>
          <w:sz w:val="32"/>
          <w:szCs w:val="32"/>
        </w:rPr>
        <w:t>, на сродство ближайших имидазольных групп гистидина к Н</w:t>
      </w:r>
      <w:r>
        <w:rPr>
          <w:snapToGrid w:val="0"/>
          <w:sz w:val="32"/>
          <w:szCs w:val="32"/>
          <w:vertAlign w:val="superscript"/>
        </w:rPr>
        <w:t>+</w:t>
      </w:r>
      <w:r>
        <w:rPr>
          <w:snapToGrid w:val="0"/>
          <w:sz w:val="32"/>
          <w:szCs w:val="32"/>
        </w:rPr>
        <w:t>.</w:t>
      </w:r>
      <w:r>
        <w:rPr>
          <w:snapToGrid w:val="0"/>
          <w:sz w:val="32"/>
          <w:szCs w:val="32"/>
          <w:vertAlign w:val="superscript"/>
        </w:rPr>
        <w:t xml:space="preserve"> </w:t>
      </w:r>
      <w:r>
        <w:rPr>
          <w:snapToGrid w:val="0"/>
          <w:sz w:val="32"/>
          <w:szCs w:val="32"/>
        </w:rPr>
        <w:t>Благодаря этому гемоглобин, освобождаясь в тканях от О</w:t>
      </w:r>
      <w:r>
        <w:rPr>
          <w:snapToGrid w:val="0"/>
          <w:sz w:val="32"/>
          <w:szCs w:val="32"/>
          <w:vertAlign w:val="subscript"/>
        </w:rPr>
        <w:t xml:space="preserve">2 </w:t>
      </w:r>
      <w:r>
        <w:rPr>
          <w:snapToGrid w:val="0"/>
          <w:sz w:val="32"/>
          <w:szCs w:val="32"/>
        </w:rPr>
        <w:t>, приобретает большую способность к связыванию ионов Н</w:t>
      </w:r>
      <w:r>
        <w:rPr>
          <w:snapToGrid w:val="0"/>
          <w:sz w:val="32"/>
          <w:szCs w:val="32"/>
          <w:vertAlign w:val="superscript"/>
        </w:rPr>
        <w:t>+</w:t>
      </w:r>
      <w:r>
        <w:rPr>
          <w:snapToGrid w:val="0"/>
          <w:sz w:val="32"/>
          <w:szCs w:val="32"/>
        </w:rPr>
        <w:t>, а в венозной крови в результате выделения 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  тканями происходит накопление в крови этих ионов. При поглощении 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  в легких происходят обратные процессы. Т.о. обмен 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 потенциирует буферный эффект гемоглобина</w:t>
      </w:r>
    </w:p>
    <w:p w:rsidR="00060EAF" w:rsidRDefault="00060EAF">
      <w:pPr>
        <w:keepNext/>
        <w:widowControl w:val="0"/>
        <w:jc w:val="both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Буферные основания</w:t>
      </w: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Буферные свойства крови обусловлены анионами всех слабых кислот, важнейшими из них являются гидрокарбонаты и анионные группы белков. Все эти анионы, вместе взятые, называются буферными основаниями. На рис.3 приведены концентрации различных ионов в плазме, эритроцитах и цельной крови.</w:t>
      </w: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28"/>
          <w:szCs w:val="28"/>
        </w:rPr>
      </w:pPr>
    </w:p>
    <w:p w:rsidR="00060EAF" w:rsidRDefault="00060EAF">
      <w:pPr>
        <w:widowControl w:val="0"/>
        <w:jc w:val="both"/>
        <w:rPr>
          <w:snapToGrid w:val="0"/>
          <w:sz w:val="28"/>
          <w:szCs w:val="28"/>
        </w:rPr>
      </w:pPr>
    </w:p>
    <w:p w:rsidR="00060EAF" w:rsidRDefault="00060EAF">
      <w:pPr>
        <w:widowControl w:val="0"/>
        <w:jc w:val="both"/>
        <w:rPr>
          <w:snapToGrid w:val="0"/>
          <w:sz w:val="28"/>
          <w:szCs w:val="28"/>
        </w:rPr>
      </w:pPr>
    </w:p>
    <w:p w:rsidR="00060EAF" w:rsidRDefault="00060EAF">
      <w:pPr>
        <w:widowControl w:val="0"/>
        <w:jc w:val="both"/>
        <w:rPr>
          <w:snapToGrid w:val="0"/>
          <w:sz w:val="28"/>
          <w:szCs w:val="28"/>
        </w:rPr>
      </w:pPr>
    </w:p>
    <w:p w:rsidR="00060EAF" w:rsidRDefault="00060EAF">
      <w:pPr>
        <w:widowControl w:val="0"/>
        <w:jc w:val="both"/>
        <w:rPr>
          <w:snapToGrid w:val="0"/>
          <w:sz w:val="28"/>
          <w:szCs w:val="28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Высота различных столбиков пропорциональна содержанию ионов. Из рисунка видно, что в плазме бо</w:t>
      </w:r>
      <w:r>
        <w:rPr>
          <w:snapToGrid w:val="0"/>
          <w:sz w:val="32"/>
          <w:szCs w:val="32"/>
          <w:vertAlign w:val="superscript"/>
        </w:rPr>
        <w:t>'</w:t>
      </w:r>
      <w:r>
        <w:rPr>
          <w:snapToGrid w:val="0"/>
          <w:sz w:val="32"/>
          <w:szCs w:val="32"/>
        </w:rPr>
        <w:t>льшая часть буферных оснований приходиться на долю ионов НСО</w:t>
      </w:r>
      <w:r>
        <w:rPr>
          <w:snapToGrid w:val="0"/>
          <w:sz w:val="32"/>
          <w:szCs w:val="32"/>
          <w:vertAlign w:val="subscript"/>
        </w:rPr>
        <w:t>3</w:t>
      </w:r>
      <w:r>
        <w:rPr>
          <w:snapToGrid w:val="0"/>
          <w:sz w:val="32"/>
          <w:szCs w:val="32"/>
        </w:rPr>
        <w:t xml:space="preserve"> </w:t>
      </w:r>
      <w:r>
        <w:rPr>
          <w:snapToGrid w:val="0"/>
          <w:sz w:val="32"/>
          <w:szCs w:val="32"/>
          <w:vertAlign w:val="superscript"/>
        </w:rPr>
        <w:t xml:space="preserve">Ї  </w:t>
      </w:r>
      <w:r>
        <w:rPr>
          <w:snapToGrid w:val="0"/>
          <w:sz w:val="32"/>
          <w:szCs w:val="32"/>
        </w:rPr>
        <w:t>, а в эритроцитах на долю анионных групп белков.</w:t>
      </w: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Содержание</w:t>
      </w:r>
      <w:r>
        <w:rPr>
          <w:snapToGrid w:val="0"/>
          <w:sz w:val="32"/>
          <w:szCs w:val="32"/>
          <w:lang w:val="en-US"/>
        </w:rPr>
        <w:t xml:space="preserve"> </w:t>
      </w:r>
      <w:r>
        <w:rPr>
          <w:snapToGrid w:val="0"/>
          <w:sz w:val="32"/>
          <w:szCs w:val="32"/>
        </w:rPr>
        <w:t>ВВ ( буферных оснований ) в артериальной крови составляет примерно 48 ммоль</w:t>
      </w:r>
      <w:r>
        <w:rPr>
          <w:snapToGrid w:val="0"/>
          <w:sz w:val="32"/>
          <w:szCs w:val="32"/>
          <w:lang w:val="en-US"/>
        </w:rPr>
        <w:t>/ л. Очень важно, что эта величина не изменяется при сдвигах напряжения СО</w:t>
      </w:r>
      <w:r>
        <w:rPr>
          <w:snapToGrid w:val="0"/>
          <w:sz w:val="32"/>
          <w:szCs w:val="32"/>
          <w:vertAlign w:val="subscript"/>
          <w:lang w:val="en-US"/>
        </w:rPr>
        <w:t>2</w:t>
      </w:r>
      <w:r>
        <w:rPr>
          <w:snapToGrid w:val="0"/>
          <w:sz w:val="32"/>
          <w:szCs w:val="32"/>
          <w:lang w:val="en-US"/>
        </w:rPr>
        <w:t xml:space="preserve"> . Так, если последнее возрастает, образуются эквивалентные количества  Н</w:t>
      </w:r>
      <w:r>
        <w:rPr>
          <w:snapToGrid w:val="0"/>
          <w:sz w:val="32"/>
          <w:szCs w:val="32"/>
          <w:vertAlign w:val="superscript"/>
          <w:lang w:val="en-US"/>
        </w:rPr>
        <w:t>+</w:t>
      </w:r>
      <w:r>
        <w:rPr>
          <w:snapToGrid w:val="0"/>
          <w:sz w:val="32"/>
          <w:szCs w:val="32"/>
          <w:lang w:val="en-US"/>
        </w:rPr>
        <w:t xml:space="preserve"> и НСО</w:t>
      </w:r>
      <w:r>
        <w:rPr>
          <w:snapToGrid w:val="0"/>
          <w:sz w:val="32"/>
          <w:szCs w:val="32"/>
          <w:vertAlign w:val="subscript"/>
          <w:lang w:val="en-US"/>
        </w:rPr>
        <w:t>3</w:t>
      </w:r>
      <w:r>
        <w:rPr>
          <w:snapToGrid w:val="0"/>
          <w:sz w:val="32"/>
          <w:szCs w:val="32"/>
          <w:vertAlign w:val="superscript"/>
          <w:lang w:val="en-US"/>
        </w:rPr>
        <w:t>Ї</w:t>
      </w:r>
      <w:r>
        <w:rPr>
          <w:snapToGrid w:val="0"/>
          <w:sz w:val="32"/>
          <w:szCs w:val="32"/>
          <w:lang w:val="en-US"/>
        </w:rPr>
        <w:t xml:space="preserve">  . Ионы Н</w:t>
      </w:r>
      <w:r>
        <w:rPr>
          <w:snapToGrid w:val="0"/>
          <w:sz w:val="32"/>
          <w:szCs w:val="32"/>
          <w:vertAlign w:val="superscript"/>
          <w:lang w:val="en-US"/>
        </w:rPr>
        <w:t xml:space="preserve">+ </w:t>
      </w:r>
      <w:r>
        <w:rPr>
          <w:snapToGrid w:val="0"/>
          <w:sz w:val="32"/>
          <w:szCs w:val="32"/>
          <w:lang w:val="en-US"/>
        </w:rPr>
        <w:t>почти полностью  связываются протеинатами, переходящими при этом в недиссоциированную форму. В результате содержание протеинатов снижается настолько, насколько увеличивается концентрация гидрокарбонатов. Поскольку общее количество буферных оснований  крови не зависит от Р(СО</w:t>
      </w:r>
      <w:r>
        <w:rPr>
          <w:snapToGrid w:val="0"/>
          <w:sz w:val="32"/>
          <w:szCs w:val="32"/>
          <w:vertAlign w:val="subscript"/>
          <w:lang w:val="en-US"/>
        </w:rPr>
        <w:t>2</w:t>
      </w:r>
      <w:r>
        <w:rPr>
          <w:snapToGrid w:val="0"/>
          <w:sz w:val="32"/>
          <w:szCs w:val="32"/>
          <w:lang w:val="en-US"/>
        </w:rPr>
        <w:t xml:space="preserve">);  </w:t>
      </w:r>
      <w:r>
        <w:rPr>
          <w:snapToGrid w:val="0"/>
          <w:sz w:val="32"/>
          <w:szCs w:val="32"/>
        </w:rPr>
        <w:t xml:space="preserve"> по величине ВВ можно судить о сдвигах КЩР, связанных с увеличением или уменьшением содержания кислот в крови.</w:t>
      </w: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  <w:vertAlign w:val="superscript"/>
        </w:rPr>
      </w:pPr>
      <w:r>
        <w:rPr>
          <w:b/>
          <w:bCs/>
          <w:snapToGrid w:val="0"/>
          <w:sz w:val="40"/>
          <w:szCs w:val="40"/>
        </w:rPr>
        <w:t xml:space="preserve"> IV. Механизмы регуляции рН</w:t>
      </w:r>
      <w:r>
        <w:rPr>
          <w:snapToGrid w:val="0"/>
          <w:sz w:val="32"/>
          <w:szCs w:val="32"/>
          <w:vertAlign w:val="superscript"/>
        </w:rPr>
        <w:t xml:space="preserve"> </w:t>
      </w: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  <w:vertAlign w:val="superscript"/>
        </w:rPr>
      </w:pPr>
      <w:r>
        <w:rPr>
          <w:snapToGrid w:val="0"/>
          <w:sz w:val="32"/>
          <w:szCs w:val="32"/>
          <w:vertAlign w:val="superscript"/>
        </w:rPr>
        <w:t xml:space="preserve">  </w:t>
      </w:r>
    </w:p>
    <w:p w:rsidR="00060EAF" w:rsidRDefault="00060EAF">
      <w:pPr>
        <w:keepNext/>
        <w:widowControl w:val="0"/>
        <w:jc w:val="both"/>
        <w:rPr>
          <w:b/>
          <w:bCs/>
          <w:i/>
          <w:iCs/>
          <w:snapToGrid w:val="0"/>
          <w:sz w:val="32"/>
          <w:szCs w:val="32"/>
          <w:vertAlign w:val="superscript"/>
        </w:rPr>
      </w:pPr>
      <w:r>
        <w:rPr>
          <w:b/>
          <w:bCs/>
          <w:i/>
          <w:iCs/>
          <w:snapToGrid w:val="0"/>
          <w:sz w:val="32"/>
          <w:szCs w:val="32"/>
        </w:rPr>
        <w:t>Участие дыхательной системы</w:t>
      </w:r>
      <w:r>
        <w:rPr>
          <w:b/>
          <w:bCs/>
          <w:i/>
          <w:iCs/>
          <w:snapToGrid w:val="0"/>
          <w:sz w:val="32"/>
          <w:szCs w:val="32"/>
          <w:vertAlign w:val="superscript"/>
        </w:rPr>
        <w:t xml:space="preserve"> </w:t>
      </w: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  <w:vertAlign w:val="superscript"/>
        </w:rPr>
      </w:pPr>
      <w:r>
        <w:rPr>
          <w:b/>
          <w:bCs/>
          <w:i/>
          <w:iCs/>
          <w:snapToGrid w:val="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Одна из функций дыхательной системы состоит в удалении 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 - конечного продукта метаболизма, образующегося в больших количествах. В состоянии покоя организм выделяет 230 мл  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  <w:lang w:val="en-US"/>
        </w:rPr>
        <w:t>/</w:t>
      </w:r>
      <w:r>
        <w:rPr>
          <w:snapToGrid w:val="0"/>
          <w:sz w:val="32"/>
          <w:szCs w:val="32"/>
        </w:rPr>
        <w:t>мин, или около 15 тыс. ммоль в сутки. В то же время при удалении из крови “летучего” ангидрида угольной кислоты в ней исчезает примерно эквивалентное число ионов Н</w:t>
      </w:r>
      <w:r>
        <w:rPr>
          <w:snapToGrid w:val="0"/>
          <w:sz w:val="32"/>
          <w:szCs w:val="32"/>
          <w:vertAlign w:val="superscript"/>
        </w:rPr>
        <w:t>+</w:t>
      </w:r>
      <w:r>
        <w:rPr>
          <w:snapToGrid w:val="0"/>
          <w:sz w:val="32"/>
          <w:szCs w:val="32"/>
        </w:rPr>
        <w:t>. Т.о.  дыхание играет чрезвычайно важную роль в поддержании КЩР.</w:t>
      </w:r>
    </w:p>
    <w:p w:rsidR="00060EAF" w:rsidRDefault="00060EAF">
      <w:pPr>
        <w:keepNext/>
        <w:widowControl w:val="0"/>
        <w:jc w:val="both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 xml:space="preserve">Участие почек            </w:t>
      </w: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Кроме легких в регуляции КЩР участвуют также почки. Их функция состоит в удалении нелетучих кислот, главным образом серной кислоты. Почки должны  удалять в сутки 40-60 ммоль ионов Н</w:t>
      </w:r>
      <w:r>
        <w:rPr>
          <w:snapToGrid w:val="0"/>
          <w:sz w:val="32"/>
          <w:szCs w:val="32"/>
          <w:vertAlign w:val="superscript"/>
        </w:rPr>
        <w:t>+</w:t>
      </w:r>
      <w:r>
        <w:rPr>
          <w:snapToGrid w:val="0"/>
          <w:sz w:val="32"/>
          <w:szCs w:val="32"/>
        </w:rPr>
        <w:t>, накапливающихся за счет образования нелетучих кислот. Если содержание таких кислот возрастает, то при нормальном функционировании почек выделение Н</w:t>
      </w:r>
      <w:r>
        <w:rPr>
          <w:snapToGrid w:val="0"/>
          <w:sz w:val="32"/>
          <w:szCs w:val="32"/>
          <w:vertAlign w:val="superscript"/>
        </w:rPr>
        <w:t xml:space="preserve">+  </w:t>
      </w:r>
      <w:r>
        <w:rPr>
          <w:snapToGrid w:val="0"/>
          <w:sz w:val="32"/>
          <w:szCs w:val="32"/>
        </w:rPr>
        <w:t>с мочой может значительно увеличиваться. В результате рН крови возрастает к нормальному уровню. Напротив, при повышении рН выведение почками Н</w:t>
      </w:r>
      <w:r>
        <w:rPr>
          <w:snapToGrid w:val="0"/>
          <w:sz w:val="32"/>
          <w:szCs w:val="32"/>
          <w:vertAlign w:val="superscript"/>
        </w:rPr>
        <w:t>+</w:t>
      </w:r>
      <w:r>
        <w:rPr>
          <w:snapToGrid w:val="0"/>
          <w:sz w:val="32"/>
          <w:szCs w:val="32"/>
        </w:rPr>
        <w:t xml:space="preserve"> уменьшается, что также способствует поддержанию КЩР.</w:t>
      </w:r>
    </w:p>
    <w:p w:rsidR="00060EAF" w:rsidRDefault="00060EAF">
      <w:pPr>
        <w:keepNext/>
        <w:widowControl w:val="0"/>
        <w:jc w:val="both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Ацидоз и алкалоз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При ряде патологических состояний в крови накапливаются такие большие количества кислот или оснований, что описанные выше регуляторные системы (буферные системы крови, дыхательная и выделительная системы) уже не могут поддерживать рН на постоянном уровне. В зависимости от того, в какую сторону изменяется реакция крови, различают 2 типа нарушений КЩР. Понижение рН крови по сравнению с нормальным уровнем (рН ‹ 7,37) называется </w:t>
      </w:r>
      <w:r>
        <w:rPr>
          <w:i/>
          <w:iCs/>
          <w:snapToGrid w:val="0"/>
          <w:sz w:val="32"/>
          <w:szCs w:val="32"/>
        </w:rPr>
        <w:t>ацидозом</w:t>
      </w:r>
      <w:r>
        <w:rPr>
          <w:snapToGrid w:val="0"/>
          <w:sz w:val="32"/>
          <w:szCs w:val="32"/>
        </w:rPr>
        <w:t xml:space="preserve">, а повышение (рН › 7,43) </w:t>
      </w:r>
      <w:r>
        <w:rPr>
          <w:i/>
          <w:iCs/>
          <w:snapToGrid w:val="0"/>
          <w:sz w:val="32"/>
          <w:szCs w:val="32"/>
        </w:rPr>
        <w:t xml:space="preserve">- алкалозом. </w:t>
      </w:r>
      <w:r>
        <w:rPr>
          <w:snapToGrid w:val="0"/>
          <w:sz w:val="32"/>
          <w:szCs w:val="32"/>
        </w:rPr>
        <w:t>Каждый из этих двух типов подразделяется еще на несколько разновидностей в зависимости от  причины сдвига рН.  Такие сдвиги могут наступать  при изменениях вентиляции легких (поражения легких могут сопровождаться увеличением напряжения 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 в крови, и гипервентиляции  приводят  к снижению этого напряжения. Подобные состояния называют дыхательным (респираторным) ацидозом или алкалозом.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u w:val="single"/>
        </w:rPr>
      </w:pPr>
      <w:r>
        <w:rPr>
          <w:snapToGrid w:val="0"/>
          <w:sz w:val="32"/>
          <w:szCs w:val="32"/>
          <w:u w:val="single"/>
        </w:rPr>
        <w:t>Дыхательный ацидоз</w:t>
      </w:r>
    </w:p>
    <w:p w:rsidR="00060EAF" w:rsidRDefault="00060EAF">
      <w:pPr>
        <w:widowControl w:val="0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</w:rPr>
        <w:t xml:space="preserve"> Характеризуется повышением парциального давления 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 и концентрации углекислоты в крови, а также компенсаторным подъемом гидрокарбонатов чаще всего наблюдается: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1.</w:t>
      </w:r>
      <w:r>
        <w:rPr>
          <w:snapToGrid w:val="0"/>
          <w:sz w:val="32"/>
          <w:szCs w:val="32"/>
        </w:rPr>
        <w:tab/>
        <w:t>при пневмонии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2.</w:t>
      </w:r>
      <w:r>
        <w:rPr>
          <w:snapToGrid w:val="0"/>
          <w:sz w:val="32"/>
          <w:szCs w:val="32"/>
        </w:rPr>
        <w:tab/>
        <w:t>при недостаточности кровообращения с застоем в малом кругу кровообращения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3.</w:t>
      </w:r>
      <w:r>
        <w:rPr>
          <w:snapToGrid w:val="0"/>
          <w:sz w:val="32"/>
          <w:szCs w:val="32"/>
        </w:rPr>
        <w:tab/>
        <w:t>под влиянием препаратов, угнетающих дыхательный центр (морфий и его производные).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  <w:u w:val="single"/>
        </w:rPr>
      </w:pPr>
      <w:r>
        <w:rPr>
          <w:snapToGrid w:val="0"/>
          <w:sz w:val="32"/>
          <w:szCs w:val="32"/>
        </w:rPr>
        <w:t>4.</w:t>
      </w:r>
      <w:r>
        <w:rPr>
          <w:snapToGrid w:val="0"/>
          <w:sz w:val="32"/>
          <w:szCs w:val="32"/>
        </w:rPr>
        <w:tab/>
        <w:t>При общем наркозе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u w:val="single"/>
        </w:rPr>
      </w:pPr>
      <w:r>
        <w:rPr>
          <w:snapToGrid w:val="0"/>
          <w:sz w:val="32"/>
          <w:szCs w:val="32"/>
          <w:u w:val="single"/>
        </w:rPr>
        <w:t>Дыхательный алкалоз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Развивается, когда вследствие альвеолярной гипервентиляции возникает гипокапния - Р (СО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) 36 мм рт. ст. Несмотря на то, что содержание гидрокарбоната несколько падает вследствие уравновешивания между СО</w:t>
      </w:r>
      <w:r>
        <w:rPr>
          <w:snapToGrid w:val="0"/>
          <w:sz w:val="32"/>
          <w:szCs w:val="32"/>
          <w:vertAlign w:val="subscript"/>
        </w:rPr>
        <w:t xml:space="preserve">2 </w:t>
      </w:r>
      <w:r>
        <w:rPr>
          <w:snapToGrid w:val="0"/>
          <w:sz w:val="32"/>
          <w:szCs w:val="32"/>
        </w:rPr>
        <w:t xml:space="preserve"> и  Н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СО</w:t>
      </w:r>
      <w:r>
        <w:rPr>
          <w:snapToGrid w:val="0"/>
          <w:sz w:val="32"/>
          <w:szCs w:val="32"/>
          <w:vertAlign w:val="subscript"/>
        </w:rPr>
        <w:t>3</w:t>
      </w:r>
      <w:r>
        <w:rPr>
          <w:snapToGrid w:val="0"/>
          <w:sz w:val="32"/>
          <w:szCs w:val="32"/>
        </w:rPr>
        <w:t xml:space="preserve">, отношение </w:t>
      </w:r>
      <w:r>
        <w:rPr>
          <w:snapToGrid w:val="0"/>
          <w:sz w:val="32"/>
          <w:szCs w:val="32"/>
          <w:lang w:val="en-US"/>
        </w:rPr>
        <w:t>[</w:t>
      </w:r>
      <w:r>
        <w:rPr>
          <w:snapToGrid w:val="0"/>
          <w:sz w:val="32"/>
          <w:szCs w:val="32"/>
        </w:rPr>
        <w:t>НСО</w:t>
      </w:r>
      <w:r>
        <w:rPr>
          <w:snapToGrid w:val="0"/>
          <w:sz w:val="32"/>
          <w:szCs w:val="32"/>
          <w:vertAlign w:val="subscript"/>
        </w:rPr>
        <w:t>3</w:t>
      </w:r>
      <w:r>
        <w:rPr>
          <w:snapToGrid w:val="0"/>
          <w:sz w:val="32"/>
          <w:szCs w:val="32"/>
          <w:lang w:val="en-US"/>
        </w:rPr>
        <w:t xml:space="preserve">] </w:t>
      </w:r>
      <w:r>
        <w:rPr>
          <w:snapToGrid w:val="0"/>
          <w:sz w:val="32"/>
          <w:szCs w:val="32"/>
        </w:rPr>
        <w:t xml:space="preserve">к </w:t>
      </w:r>
      <w:r>
        <w:rPr>
          <w:snapToGrid w:val="0"/>
          <w:sz w:val="32"/>
          <w:szCs w:val="32"/>
          <w:lang w:val="en-US"/>
        </w:rPr>
        <w:t>[α·</w:t>
      </w:r>
      <w:r>
        <w:rPr>
          <w:snapToGrid w:val="0"/>
          <w:sz w:val="32"/>
          <w:szCs w:val="32"/>
        </w:rPr>
        <w:t>Р (СО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)</w:t>
      </w:r>
      <w:r>
        <w:rPr>
          <w:snapToGrid w:val="0"/>
          <w:sz w:val="32"/>
          <w:szCs w:val="32"/>
          <w:lang w:val="en-US"/>
        </w:rPr>
        <w:t>]</w:t>
      </w:r>
      <w:r>
        <w:rPr>
          <w:snapToGrid w:val="0"/>
          <w:sz w:val="32"/>
          <w:szCs w:val="32"/>
        </w:rPr>
        <w:t xml:space="preserve"> повышается, а поэтому повышается и  рН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При стойкой гипокапнии клетки почечных канальцев выводят дополнительное количество гидрокарбоната, восстанавливая нормальное отношение </w:t>
      </w:r>
      <w:r>
        <w:rPr>
          <w:snapToGrid w:val="0"/>
          <w:sz w:val="32"/>
          <w:szCs w:val="32"/>
          <w:lang w:val="en-US"/>
        </w:rPr>
        <w:t>[НСО</w:t>
      </w:r>
      <w:r>
        <w:rPr>
          <w:snapToGrid w:val="0"/>
          <w:sz w:val="32"/>
          <w:szCs w:val="32"/>
          <w:vertAlign w:val="subscript"/>
          <w:lang w:val="en-US"/>
        </w:rPr>
        <w:t>3</w:t>
      </w:r>
      <w:r>
        <w:rPr>
          <w:snapToGrid w:val="0"/>
          <w:sz w:val="32"/>
          <w:szCs w:val="32"/>
          <w:lang w:val="en-US"/>
        </w:rPr>
        <w:t xml:space="preserve">] </w:t>
      </w:r>
      <w:r>
        <w:rPr>
          <w:snapToGrid w:val="0"/>
          <w:sz w:val="32"/>
          <w:szCs w:val="32"/>
        </w:rPr>
        <w:t xml:space="preserve">к </w:t>
      </w:r>
      <w:r>
        <w:rPr>
          <w:snapToGrid w:val="0"/>
          <w:sz w:val="32"/>
          <w:szCs w:val="32"/>
          <w:lang w:val="en-US"/>
        </w:rPr>
        <w:t>[α·</w:t>
      </w:r>
      <w:r>
        <w:rPr>
          <w:snapToGrid w:val="0"/>
          <w:sz w:val="32"/>
          <w:szCs w:val="32"/>
        </w:rPr>
        <w:t>Р (СО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)</w:t>
      </w:r>
      <w:r>
        <w:rPr>
          <w:snapToGrid w:val="0"/>
          <w:sz w:val="32"/>
          <w:szCs w:val="32"/>
          <w:lang w:val="en-US"/>
        </w:rPr>
        <w:t xml:space="preserve">]. Восстановление рН может быть  почти полным и этот процесс называют компенсированным дыхательным алкалозом. </w:t>
      </w:r>
      <w:r>
        <w:rPr>
          <w:snapToGrid w:val="0"/>
          <w:sz w:val="32"/>
          <w:szCs w:val="32"/>
        </w:rPr>
        <w:t xml:space="preserve">              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</w:rPr>
        <w:t xml:space="preserve">  При нарушениях обмена веществ в крови могут накапливаться нелетучие кислоты</w:t>
      </w:r>
      <w:r>
        <w:rPr>
          <w:snapToGrid w:val="0"/>
          <w:sz w:val="32"/>
          <w:szCs w:val="32"/>
          <w:lang w:val="en-US"/>
        </w:rPr>
        <w:t xml:space="preserve">; </w:t>
      </w:r>
      <w:r>
        <w:rPr>
          <w:snapToGrid w:val="0"/>
          <w:sz w:val="32"/>
          <w:szCs w:val="32"/>
        </w:rPr>
        <w:t xml:space="preserve"> напротив, поступление в кровь оснований или потеря НС</w:t>
      </w:r>
      <w:r>
        <w:rPr>
          <w:snapToGrid w:val="0"/>
          <w:sz w:val="32"/>
          <w:szCs w:val="32"/>
          <w:lang w:val="en-US"/>
        </w:rPr>
        <w:t xml:space="preserve">l </w:t>
      </w:r>
      <w:r>
        <w:rPr>
          <w:snapToGrid w:val="0"/>
          <w:sz w:val="32"/>
          <w:szCs w:val="32"/>
        </w:rPr>
        <w:t xml:space="preserve"> могут сопровождаться уменьшением содержания этих кислот. Такие состояния называют метаболическим ацидозом или алкалозом легких. Метаболический алкалоз с первичным повышением концентрации гидрокарбонатов встречается при</w:t>
      </w:r>
      <w:r>
        <w:rPr>
          <w:snapToGrid w:val="0"/>
          <w:sz w:val="32"/>
          <w:szCs w:val="32"/>
          <w:lang w:val="en-US"/>
        </w:rPr>
        <w:t>: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1.</w:t>
      </w:r>
      <w:r>
        <w:rPr>
          <w:snapToGrid w:val="0"/>
          <w:sz w:val="32"/>
          <w:szCs w:val="32"/>
        </w:rPr>
        <w:tab/>
        <w:t>Избыточном и бесконтрольном введении щелочных растворов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2.</w:t>
      </w:r>
      <w:r>
        <w:rPr>
          <w:snapToGrid w:val="0"/>
          <w:sz w:val="32"/>
          <w:szCs w:val="32"/>
        </w:rPr>
        <w:tab/>
        <w:t>Упорной рвоте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3.</w:t>
      </w:r>
      <w:r>
        <w:rPr>
          <w:snapToGrid w:val="0"/>
          <w:sz w:val="32"/>
          <w:szCs w:val="32"/>
        </w:rPr>
        <w:tab/>
        <w:t>Дефиците калия в организме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4.</w:t>
      </w:r>
      <w:r>
        <w:rPr>
          <w:snapToGrid w:val="0"/>
          <w:sz w:val="32"/>
          <w:szCs w:val="32"/>
        </w:rPr>
        <w:tab/>
        <w:t>Врожденном алкалозе с гипокалиемией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Метаболический ацидоз, характеризующийся уменьшением концентрации НСО</w:t>
      </w:r>
      <w:r>
        <w:rPr>
          <w:snapToGrid w:val="0"/>
          <w:sz w:val="32"/>
          <w:szCs w:val="32"/>
          <w:vertAlign w:val="subscript"/>
        </w:rPr>
        <w:t>3</w:t>
      </w:r>
      <w:r>
        <w:rPr>
          <w:snapToGrid w:val="0"/>
          <w:sz w:val="32"/>
          <w:szCs w:val="32"/>
          <w:vertAlign w:val="superscript"/>
        </w:rPr>
        <w:t xml:space="preserve">Ї </w:t>
      </w:r>
      <w:r>
        <w:rPr>
          <w:snapToGrid w:val="0"/>
          <w:sz w:val="32"/>
          <w:szCs w:val="32"/>
        </w:rPr>
        <w:t xml:space="preserve"> в плазме, наблюдается при следующих заболеваниях и состояниях: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1.</w:t>
      </w:r>
      <w:r>
        <w:rPr>
          <w:snapToGrid w:val="0"/>
          <w:sz w:val="32"/>
          <w:szCs w:val="32"/>
        </w:rPr>
        <w:tab/>
        <w:t>У детей периода новорожденности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2.</w:t>
      </w:r>
      <w:r>
        <w:rPr>
          <w:snapToGrid w:val="0"/>
          <w:sz w:val="32"/>
          <w:szCs w:val="32"/>
        </w:rPr>
        <w:tab/>
        <w:t>Токсические состояния на почве ЖКЗ у детей раннего возраста.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3.</w:t>
      </w:r>
      <w:r>
        <w:rPr>
          <w:snapToGrid w:val="0"/>
          <w:sz w:val="32"/>
          <w:szCs w:val="32"/>
        </w:rPr>
        <w:tab/>
        <w:t>Голодание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4.</w:t>
      </w:r>
      <w:r>
        <w:rPr>
          <w:snapToGrid w:val="0"/>
          <w:sz w:val="32"/>
          <w:szCs w:val="32"/>
        </w:rPr>
        <w:tab/>
        <w:t>После длительного введения хлорида аммония или хлорида кальция.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5.</w:t>
      </w:r>
      <w:r>
        <w:rPr>
          <w:snapToGrid w:val="0"/>
          <w:sz w:val="32"/>
          <w:szCs w:val="32"/>
        </w:rPr>
        <w:tab/>
        <w:t>Диабетическая кома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6.</w:t>
      </w:r>
      <w:r>
        <w:rPr>
          <w:snapToGrid w:val="0"/>
          <w:sz w:val="32"/>
          <w:szCs w:val="32"/>
        </w:rPr>
        <w:tab/>
        <w:t>Почечная гломерулярная недостаточность.</w:t>
      </w: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 Поскольку рН крови может изменяться  также при поражениях почек, сдвиги КЩР, обусловленные почечными или обменными нарушениями объединяют под названием нереспираторный ацидоз или алкалоз.</w:t>
      </w: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</w:rPr>
        <w:t>Оценка КЩР</w:t>
      </w:r>
      <w:r>
        <w:rPr>
          <w:snapToGrid w:val="0"/>
          <w:sz w:val="32"/>
          <w:szCs w:val="32"/>
        </w:rPr>
        <w:t xml:space="preserve"> </w:t>
      </w: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Оценка КЩР крови имеет большое значение в клинике. Для такой оценки необходимо измерить ряд показателей, позволяющих выявить у больного ацидоз либо алкалоз и судить о том,  является он респираторным или нереспираторным. Заключение о состоянии КЩР позволяет выбрать правильное лечение. Необходимо измерить следующие показатели артериальной крови:</w:t>
      </w:r>
    </w:p>
    <w:p w:rsidR="00060EAF" w:rsidRDefault="00060EAF">
      <w:pPr>
        <w:keepNext/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1.</w:t>
      </w:r>
      <w:r>
        <w:rPr>
          <w:snapToGrid w:val="0"/>
          <w:sz w:val="32"/>
          <w:szCs w:val="32"/>
        </w:rPr>
        <w:tab/>
        <w:t>РН.</w:t>
      </w: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По величине рН можно судить о том, является ли содержание ионов Н в крови нормальным  (рН 7,37-7,43) или сдвинуто в ту либо иную сторону. В то же время нормальное значение рН еще не позволяет с уверенностью говорить об отсутствии нарушения КЩР, т.к. в этом случае нельзя исключить компенсированный ацидоз, либо алкалоз.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2.</w:t>
      </w:r>
      <w:r>
        <w:rPr>
          <w:snapToGrid w:val="0"/>
          <w:sz w:val="32"/>
          <w:szCs w:val="32"/>
        </w:rPr>
        <w:tab/>
        <w:t>Парциальное давление углекислого газа.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Повышение или снижение напряжения 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 по сравнению с его нормальным уровнем (35-45 мм рт. ст.)  служит признаком респираторного нарушения КЩР.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3.Избыток оснований (base excess, ВЕ).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По величине ВЕ можно сделать вывод о наличии нереспираторного нарушения КЩР. Изменения этой величины (норма от-2,5 до +2,5 ммоль/л)  непосредственно отражают снижение или увеличение содержания нелетучих кислот в крови.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4.Стандартный бикарбонат.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В качестве показателя нереспираторного нарушения КЩР иногда используют так называемый “стандартный бикарбонат”. Это величина соответствует содержанию бикарбоната в плазме крови, полностью насыщенной с газовой смесью. В норме “стандартный бикарбонат” равен 24 ммоль/л. Этот показатель не отражает буферный эффект белков, поэтому он сравнительно малоинформативен.</w:t>
      </w:r>
    </w:p>
    <w:p w:rsidR="00060EAF" w:rsidRDefault="00060EAF">
      <w:pPr>
        <w:widowControl w:val="0"/>
        <w:jc w:val="both"/>
        <w:rPr>
          <w:snapToGrid w:val="0"/>
          <w:sz w:val="28"/>
          <w:szCs w:val="28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</w:rPr>
        <w:t xml:space="preserve">  В табл.2 приведена сводка первичных и вторичных измерений трех основных параметров, по совокупности которых можно сделать окончательное заключение  о состоянии КЩР</w:t>
      </w:r>
      <w:r>
        <w:rPr>
          <w:snapToGrid w:val="0"/>
          <w:sz w:val="32"/>
          <w:szCs w:val="32"/>
          <w:lang w:val="en-US"/>
        </w:rPr>
        <w:t>: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</w:p>
    <w:p w:rsidR="00060EAF" w:rsidRDefault="00060EAF">
      <w:pPr>
        <w:widowControl w:val="0"/>
        <w:tabs>
          <w:tab w:val="left" w:pos="3051"/>
          <w:tab w:val="left" w:pos="5166"/>
          <w:tab w:val="left" w:pos="7281"/>
          <w:tab w:val="left" w:pos="9396"/>
        </w:tabs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ab/>
        <w:t>РН</w:t>
      </w:r>
      <w:r>
        <w:rPr>
          <w:snapToGrid w:val="0"/>
          <w:sz w:val="32"/>
          <w:szCs w:val="32"/>
          <w:lang w:val="en-US"/>
        </w:rPr>
        <w:tab/>
        <w:t>ВЕ</w:t>
      </w:r>
      <w:r>
        <w:rPr>
          <w:snapToGrid w:val="0"/>
          <w:sz w:val="32"/>
          <w:szCs w:val="32"/>
          <w:lang w:val="en-US"/>
        </w:rPr>
        <w:tab/>
        <w:t>Р ( СО</w:t>
      </w:r>
      <w:r>
        <w:rPr>
          <w:snapToGrid w:val="0"/>
          <w:sz w:val="32"/>
          <w:szCs w:val="32"/>
          <w:vertAlign w:val="subscript"/>
          <w:lang w:val="en-US"/>
        </w:rPr>
        <w:t>2</w:t>
      </w:r>
      <w:r>
        <w:rPr>
          <w:snapToGrid w:val="0"/>
          <w:sz w:val="32"/>
          <w:szCs w:val="32"/>
          <w:lang w:val="en-US"/>
        </w:rPr>
        <w:t>)</w:t>
      </w:r>
    </w:p>
    <w:p w:rsidR="00060EAF" w:rsidRDefault="00060EAF">
      <w:pPr>
        <w:widowControl w:val="0"/>
        <w:tabs>
          <w:tab w:val="left" w:pos="3051"/>
          <w:tab w:val="left" w:pos="5166"/>
          <w:tab w:val="left" w:pos="7281"/>
          <w:tab w:val="left" w:pos="9396"/>
        </w:tabs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Нереспираторный ацидоз</w:t>
      </w:r>
      <w:r>
        <w:rPr>
          <w:snapToGrid w:val="0"/>
          <w:sz w:val="32"/>
          <w:szCs w:val="32"/>
          <w:lang w:val="en-US"/>
        </w:rPr>
        <w:tab/>
      </w:r>
      <w:r>
        <w:rPr>
          <w:rFonts w:ascii="Symbol" w:hAnsi="Symbol" w:cs="Symbol"/>
          <w:snapToGrid w:val="0"/>
          <w:sz w:val="32"/>
          <w:szCs w:val="32"/>
          <w:lang w:val="en-US"/>
        </w:rPr>
        <w:t></w:t>
      </w:r>
      <w:r>
        <w:rPr>
          <w:snapToGrid w:val="0"/>
          <w:sz w:val="32"/>
          <w:szCs w:val="32"/>
          <w:lang w:val="en-US"/>
        </w:rPr>
        <w:tab/>
      </w:r>
      <w:r>
        <w:rPr>
          <w:rFonts w:ascii="Symbol" w:hAnsi="Symbol" w:cs="Symbol"/>
          <w:snapToGrid w:val="0"/>
          <w:sz w:val="32"/>
          <w:szCs w:val="32"/>
          <w:lang w:val="en-US"/>
        </w:rPr>
        <w:t></w:t>
      </w:r>
      <w:r>
        <w:rPr>
          <w:snapToGrid w:val="0"/>
          <w:sz w:val="32"/>
          <w:szCs w:val="32"/>
          <w:lang w:val="en-US"/>
        </w:rPr>
        <w:tab/>
        <w:t>↓</w:t>
      </w:r>
    </w:p>
    <w:p w:rsidR="00060EAF" w:rsidRDefault="00060EAF">
      <w:pPr>
        <w:widowControl w:val="0"/>
        <w:tabs>
          <w:tab w:val="left" w:pos="3051"/>
          <w:tab w:val="left" w:pos="5166"/>
          <w:tab w:val="left" w:pos="7281"/>
          <w:tab w:val="left" w:pos="9396"/>
        </w:tabs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Нереспираторный алкалоз</w:t>
      </w:r>
      <w:r>
        <w:rPr>
          <w:snapToGrid w:val="0"/>
          <w:sz w:val="32"/>
          <w:szCs w:val="32"/>
          <w:lang w:val="en-US"/>
        </w:rPr>
        <w:tab/>
      </w:r>
      <w:r>
        <w:rPr>
          <w:rFonts w:ascii="Symbol" w:hAnsi="Symbol" w:cs="Symbol"/>
          <w:snapToGrid w:val="0"/>
          <w:sz w:val="32"/>
          <w:szCs w:val="32"/>
          <w:lang w:val="en-US"/>
        </w:rPr>
        <w:t></w:t>
      </w:r>
      <w:r>
        <w:rPr>
          <w:snapToGrid w:val="0"/>
          <w:sz w:val="32"/>
          <w:szCs w:val="32"/>
          <w:lang w:val="en-US"/>
        </w:rPr>
        <w:tab/>
      </w:r>
      <w:r>
        <w:rPr>
          <w:rFonts w:ascii="Symbol" w:hAnsi="Symbol" w:cs="Symbol"/>
          <w:snapToGrid w:val="0"/>
          <w:sz w:val="32"/>
          <w:szCs w:val="32"/>
          <w:lang w:val="en-US"/>
        </w:rPr>
        <w:t></w:t>
      </w:r>
      <w:r>
        <w:rPr>
          <w:snapToGrid w:val="0"/>
          <w:sz w:val="32"/>
          <w:szCs w:val="32"/>
          <w:lang w:val="en-US"/>
        </w:rPr>
        <w:tab/>
        <w:t>↑</w:t>
      </w:r>
    </w:p>
    <w:p w:rsidR="00060EAF" w:rsidRDefault="00060EAF">
      <w:pPr>
        <w:widowControl w:val="0"/>
        <w:tabs>
          <w:tab w:val="left" w:pos="3051"/>
          <w:tab w:val="left" w:pos="5166"/>
          <w:tab w:val="left" w:pos="7281"/>
          <w:tab w:val="left" w:pos="9396"/>
        </w:tabs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Респираторный ацидоз</w:t>
      </w:r>
      <w:r>
        <w:rPr>
          <w:snapToGrid w:val="0"/>
          <w:sz w:val="32"/>
          <w:szCs w:val="32"/>
          <w:lang w:val="en-US"/>
        </w:rPr>
        <w:tab/>
      </w:r>
      <w:r>
        <w:rPr>
          <w:rFonts w:ascii="Symbol" w:hAnsi="Symbol" w:cs="Symbol"/>
          <w:snapToGrid w:val="0"/>
          <w:sz w:val="32"/>
          <w:szCs w:val="32"/>
          <w:lang w:val="en-US"/>
        </w:rPr>
        <w:t></w:t>
      </w:r>
      <w:r>
        <w:rPr>
          <w:snapToGrid w:val="0"/>
          <w:sz w:val="32"/>
          <w:szCs w:val="32"/>
          <w:lang w:val="en-US"/>
        </w:rPr>
        <w:tab/>
        <w:t>↑</w:t>
      </w:r>
      <w:r>
        <w:rPr>
          <w:snapToGrid w:val="0"/>
          <w:sz w:val="32"/>
          <w:szCs w:val="32"/>
          <w:lang w:val="en-US"/>
        </w:rPr>
        <w:tab/>
      </w:r>
      <w:r>
        <w:rPr>
          <w:rFonts w:ascii="Symbol" w:hAnsi="Symbol" w:cs="Symbol"/>
          <w:snapToGrid w:val="0"/>
          <w:sz w:val="32"/>
          <w:szCs w:val="32"/>
          <w:lang w:val="en-US"/>
        </w:rPr>
        <w:t></w:t>
      </w:r>
    </w:p>
    <w:p w:rsidR="00060EAF" w:rsidRDefault="00060EAF">
      <w:pPr>
        <w:widowControl w:val="0"/>
        <w:tabs>
          <w:tab w:val="left" w:pos="3051"/>
          <w:tab w:val="left" w:pos="5166"/>
          <w:tab w:val="left" w:pos="7281"/>
          <w:tab w:val="left" w:pos="9396"/>
        </w:tabs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Респираторный алкалоз</w:t>
      </w:r>
      <w:r>
        <w:rPr>
          <w:snapToGrid w:val="0"/>
          <w:sz w:val="32"/>
          <w:szCs w:val="32"/>
          <w:lang w:val="en-US"/>
        </w:rPr>
        <w:tab/>
      </w:r>
      <w:r>
        <w:rPr>
          <w:rFonts w:ascii="Symbol" w:hAnsi="Symbol" w:cs="Symbol"/>
          <w:snapToGrid w:val="0"/>
          <w:sz w:val="32"/>
          <w:szCs w:val="32"/>
          <w:lang w:val="en-US"/>
        </w:rPr>
        <w:t></w:t>
      </w:r>
      <w:r>
        <w:rPr>
          <w:snapToGrid w:val="0"/>
          <w:sz w:val="32"/>
          <w:szCs w:val="32"/>
          <w:lang w:val="en-US"/>
        </w:rPr>
        <w:tab/>
        <w:t>↓</w:t>
      </w:r>
      <w:r>
        <w:rPr>
          <w:snapToGrid w:val="0"/>
          <w:sz w:val="32"/>
          <w:szCs w:val="32"/>
          <w:lang w:val="en-US"/>
        </w:rPr>
        <w:tab/>
      </w:r>
      <w:r>
        <w:rPr>
          <w:rFonts w:ascii="Symbol" w:hAnsi="Symbol" w:cs="Symbol"/>
          <w:snapToGrid w:val="0"/>
          <w:sz w:val="32"/>
          <w:szCs w:val="32"/>
          <w:lang w:val="en-US"/>
        </w:rPr>
        <w:t>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Изменения основных параметров КЩР при его нарушениях. Двойные стрелки- направления первичных сдвигов, тонкие стрелки- направления вторичных компенсаторных сдвигов.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Показатели кислотно-основного состояния организма у здоровых людей  представлены в табл.3</w:t>
      </w:r>
    </w:p>
    <w:p w:rsidR="00060EAF" w:rsidRDefault="00060EAF">
      <w:pPr>
        <w:widowControl w:val="0"/>
        <w:jc w:val="both"/>
        <w:rPr>
          <w:b/>
          <w:bCs/>
          <w:i/>
          <w:iCs/>
          <w:snapToGrid w:val="0"/>
          <w:sz w:val="32"/>
          <w:szCs w:val="32"/>
          <w:lang w:val="en-US"/>
        </w:rPr>
      </w:pPr>
    </w:p>
    <w:p w:rsidR="00060EAF" w:rsidRDefault="00060EAF">
      <w:pPr>
        <w:widowControl w:val="0"/>
        <w:jc w:val="both"/>
        <w:rPr>
          <w:b/>
          <w:bCs/>
          <w:i/>
          <w:iCs/>
          <w:snapToGrid w:val="0"/>
          <w:sz w:val="32"/>
          <w:szCs w:val="32"/>
        </w:rPr>
      </w:pPr>
      <w:r>
        <w:rPr>
          <w:b/>
          <w:bCs/>
          <w:i/>
          <w:iCs/>
          <w:snapToGrid w:val="0"/>
          <w:sz w:val="32"/>
          <w:szCs w:val="32"/>
          <w:lang w:val="en-US"/>
        </w:rPr>
        <w:t>Методы оценки КЩР</w:t>
      </w:r>
      <w:r>
        <w:rPr>
          <w:b/>
          <w:bCs/>
          <w:i/>
          <w:iCs/>
          <w:snapToGrid w:val="0"/>
          <w:sz w:val="32"/>
          <w:szCs w:val="32"/>
        </w:rPr>
        <w:t xml:space="preserve">. </w:t>
      </w:r>
    </w:p>
    <w:p w:rsidR="00060EAF" w:rsidRDefault="00060EAF">
      <w:pPr>
        <w:widowControl w:val="0"/>
        <w:jc w:val="both"/>
        <w:rPr>
          <w:b/>
          <w:bCs/>
          <w:i/>
          <w:iCs/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Одним из методов оценки КЩР является метод Аструпа, при котором одновременно с показателями этого равновесия в крови определяют напряжение  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.</w:t>
      </w:r>
      <w:r>
        <w:rPr>
          <w:snapToGrid w:val="0"/>
          <w:sz w:val="32"/>
          <w:szCs w:val="32"/>
          <w:lang w:val="en-US"/>
        </w:rPr>
        <w:t xml:space="preserve"> </w:t>
      </w:r>
      <w:r>
        <w:rPr>
          <w:snapToGrid w:val="0"/>
          <w:sz w:val="32"/>
          <w:szCs w:val="32"/>
        </w:rPr>
        <w:t xml:space="preserve"> Проба крови делится на три части. В одной порции изменяется актуальный рН, две другие уравновешивается в течении з-ех минут смесями 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 и 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 известного состава</w:t>
      </w:r>
      <w:r>
        <w:rPr>
          <w:snapToGrid w:val="0"/>
          <w:sz w:val="32"/>
          <w:szCs w:val="32"/>
          <w:lang w:val="en-US"/>
        </w:rPr>
        <w:t>: в одной смеси Р. (СО</w:t>
      </w:r>
      <w:r>
        <w:rPr>
          <w:snapToGrid w:val="0"/>
          <w:sz w:val="32"/>
          <w:szCs w:val="32"/>
          <w:vertAlign w:val="subscript"/>
          <w:lang w:val="en-US"/>
        </w:rPr>
        <w:t>2</w:t>
      </w:r>
      <w:r>
        <w:rPr>
          <w:snapToGrid w:val="0"/>
          <w:sz w:val="32"/>
          <w:szCs w:val="32"/>
          <w:lang w:val="en-US"/>
        </w:rPr>
        <w:t>) выше 40 мм рт. ст., а в другой ниже. В исследуемом образце крови получают  значения рН:</w:t>
      </w:r>
      <w:r>
        <w:rPr>
          <w:snapToGrid w:val="0"/>
          <w:sz w:val="32"/>
          <w:szCs w:val="32"/>
        </w:rPr>
        <w:t xml:space="preserve"> при истинном, высоком и низком значениях Р(СО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).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На номограмме Сиггор-Андерсена откладывают 2 точки</w:t>
      </w:r>
      <w:r>
        <w:rPr>
          <w:snapToGrid w:val="0"/>
          <w:sz w:val="32"/>
          <w:szCs w:val="32"/>
          <w:lang w:val="en-US"/>
        </w:rPr>
        <w:t>:</w:t>
      </w:r>
      <w:r>
        <w:rPr>
          <w:snapToGrid w:val="0"/>
          <w:sz w:val="32"/>
          <w:szCs w:val="32"/>
        </w:rPr>
        <w:t xml:space="preserve"> А и В с координатами рН</w:t>
      </w:r>
      <w:r>
        <w:rPr>
          <w:snapToGrid w:val="0"/>
          <w:sz w:val="32"/>
          <w:szCs w:val="32"/>
          <w:vertAlign w:val="subscript"/>
        </w:rPr>
        <w:t>1</w:t>
      </w:r>
      <w:r>
        <w:rPr>
          <w:snapToGrid w:val="0"/>
          <w:sz w:val="32"/>
          <w:szCs w:val="32"/>
        </w:rPr>
        <w:t xml:space="preserve"> и р(СО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)</w:t>
      </w:r>
      <w:r>
        <w:rPr>
          <w:snapToGrid w:val="0"/>
          <w:sz w:val="32"/>
          <w:szCs w:val="32"/>
          <w:vertAlign w:val="subscript"/>
        </w:rPr>
        <w:t xml:space="preserve"> 1 </w:t>
      </w:r>
      <w:r>
        <w:rPr>
          <w:snapToGrid w:val="0"/>
          <w:sz w:val="32"/>
          <w:szCs w:val="32"/>
        </w:rPr>
        <w:t>(при недостатке 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) и рН</w:t>
      </w:r>
      <w:r>
        <w:rPr>
          <w:snapToGrid w:val="0"/>
          <w:sz w:val="32"/>
          <w:szCs w:val="32"/>
          <w:vertAlign w:val="subscript"/>
        </w:rPr>
        <w:t xml:space="preserve">2 </w:t>
      </w:r>
      <w:r>
        <w:rPr>
          <w:snapToGrid w:val="0"/>
          <w:sz w:val="32"/>
          <w:szCs w:val="32"/>
        </w:rPr>
        <w:t xml:space="preserve"> р(СО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>)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 (при избытке). Их соединяют прямой. Из точки на оси абсцисс, соответствующей актуальному значению рН, восстанавливают перпендикуляр до пересечения с прямой АВ, получают т. </w:t>
      </w:r>
      <w:r>
        <w:rPr>
          <w:snapToGrid w:val="0"/>
          <w:sz w:val="32"/>
          <w:szCs w:val="32"/>
          <w:lang w:val="en-US"/>
        </w:rPr>
        <w:t>F. Перпендикуляр из т. F</w:t>
      </w:r>
      <w:r>
        <w:rPr>
          <w:snapToGrid w:val="0"/>
          <w:sz w:val="32"/>
          <w:szCs w:val="32"/>
        </w:rPr>
        <w:t xml:space="preserve"> на ординату соответствует величине актуального р(СО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) крови.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Точки пересечения прямой АВ и ее продолжений с графиками </w:t>
      </w:r>
      <w:r>
        <w:rPr>
          <w:snapToGrid w:val="0"/>
          <w:sz w:val="32"/>
          <w:szCs w:val="32"/>
          <w:lang w:val="en-US"/>
        </w:rPr>
        <w:t>SB</w:t>
      </w:r>
      <w:r>
        <w:rPr>
          <w:snapToGrid w:val="0"/>
          <w:sz w:val="32"/>
          <w:szCs w:val="32"/>
        </w:rPr>
        <w:t xml:space="preserve">, ВВ и ВЕ (точки Е, Д и С) соответствуют значениям этих показателей КЩР в исследуемом образце крови.    </w:t>
      </w:r>
      <w:r>
        <w:rPr>
          <w:snapToGrid w:val="0"/>
          <w:sz w:val="32"/>
          <w:szCs w:val="32"/>
          <w:lang w:val="en-US"/>
        </w:rPr>
        <w:t xml:space="preserve">   </w:t>
      </w:r>
      <w:r>
        <w:rPr>
          <w:snapToGrid w:val="0"/>
          <w:sz w:val="32"/>
          <w:szCs w:val="32"/>
        </w:rPr>
        <w:t xml:space="preserve"> 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vertAlign w:val="subscript"/>
        </w:rPr>
      </w:pPr>
      <w:r>
        <w:rPr>
          <w:snapToGrid w:val="0"/>
          <w:sz w:val="32"/>
          <w:szCs w:val="32"/>
        </w:rPr>
        <w:t>В последнее время появилась возможность непосредственно измерять напряжение 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 в небольшом объеме крови при помощи полярографических электродов. Поскольку, имея значения Р (СО</w:t>
      </w:r>
      <w:r>
        <w:rPr>
          <w:snapToGrid w:val="0"/>
          <w:sz w:val="32"/>
          <w:szCs w:val="32"/>
          <w:vertAlign w:val="subscript"/>
        </w:rPr>
        <w:t>2</w:t>
      </w:r>
      <w:r>
        <w:rPr>
          <w:snapToGrid w:val="0"/>
          <w:sz w:val="32"/>
          <w:szCs w:val="32"/>
        </w:rPr>
        <w:t xml:space="preserve">)  и рН, можно определить ВЕ, при этом способе не требуется уравновешивать кровь с газовой смесью.   </w:t>
      </w:r>
      <w:r>
        <w:rPr>
          <w:snapToGrid w:val="0"/>
          <w:sz w:val="32"/>
          <w:szCs w:val="32"/>
          <w:vertAlign w:val="subscript"/>
        </w:rPr>
        <w:t xml:space="preserve"> 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jc w:val="both"/>
        <w:rPr>
          <w:snapToGrid w:val="0"/>
          <w:sz w:val="36"/>
          <w:szCs w:val="36"/>
          <w:lang w:val="en-US"/>
        </w:rPr>
      </w:pPr>
      <w:r>
        <w:rPr>
          <w:snapToGrid w:val="0"/>
          <w:sz w:val="36"/>
          <w:szCs w:val="36"/>
        </w:rPr>
        <w:t>Список литературы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1.</w:t>
      </w:r>
      <w:r>
        <w:rPr>
          <w:snapToGrid w:val="0"/>
          <w:sz w:val="32"/>
          <w:szCs w:val="32"/>
        </w:rPr>
        <w:tab/>
        <w:t>Майкл А. Гриппи. Патофизиология легких.</w:t>
      </w:r>
    </w:p>
    <w:p w:rsidR="00060EAF" w:rsidRDefault="00060EAF">
      <w:pPr>
        <w:widowControl w:val="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2. Р. Шмидт, Г. Тевс. Физиология человека.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32"/>
          <w:szCs w:val="32"/>
          <w:lang w:val="en-US"/>
        </w:rPr>
      </w:pPr>
      <w:r>
        <w:rPr>
          <w:snapToGrid w:val="0"/>
          <w:sz w:val="32"/>
          <w:szCs w:val="32"/>
          <w:lang w:val="en-US"/>
        </w:rPr>
        <w:t>3.</w:t>
      </w:r>
      <w:r>
        <w:rPr>
          <w:snapToGrid w:val="0"/>
          <w:sz w:val="32"/>
          <w:szCs w:val="32"/>
          <w:lang w:val="en-US"/>
        </w:rPr>
        <w:tab/>
        <w:t>Ершов Ю. В. Общая химия. Биофизическая химия. Химия биогенных элементов.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28"/>
          <w:szCs w:val="28"/>
        </w:rPr>
      </w:pPr>
      <w:r>
        <w:rPr>
          <w:snapToGrid w:val="0"/>
          <w:sz w:val="32"/>
          <w:szCs w:val="32"/>
          <w:lang w:val="en-US"/>
        </w:rPr>
        <w:t>4.</w:t>
      </w:r>
      <w:r>
        <w:rPr>
          <w:snapToGrid w:val="0"/>
          <w:sz w:val="32"/>
          <w:szCs w:val="32"/>
          <w:lang w:val="en-US"/>
        </w:rPr>
        <w:tab/>
        <w:t>Джон Булок . Физиология человека</w:t>
      </w:r>
    </w:p>
    <w:p w:rsidR="00060EAF" w:rsidRDefault="00060EAF">
      <w:pPr>
        <w:widowControl w:val="0"/>
        <w:tabs>
          <w:tab w:val="left" w:pos="360"/>
        </w:tabs>
        <w:ind w:left="360" w:hanging="360"/>
        <w:jc w:val="both"/>
        <w:rPr>
          <w:snapToGrid w:val="0"/>
          <w:sz w:val="28"/>
          <w:szCs w:val="28"/>
        </w:rPr>
      </w:pPr>
      <w:r>
        <w:rPr>
          <w:snapToGrid w:val="0"/>
          <w:sz w:val="32"/>
          <w:szCs w:val="32"/>
          <w:lang w:val="en-US"/>
        </w:rPr>
        <w:t>5.</w:t>
      </w:r>
      <w:r>
        <w:rPr>
          <w:snapToGrid w:val="0"/>
          <w:sz w:val="32"/>
          <w:szCs w:val="32"/>
          <w:lang w:val="en-US"/>
        </w:rPr>
        <w:tab/>
        <w:t>Е. А. Бородин. Биохимический диагноз.</w:t>
      </w:r>
      <w:r>
        <w:rPr>
          <w:snapToGrid w:val="0"/>
          <w:sz w:val="32"/>
          <w:szCs w:val="32"/>
        </w:rPr>
        <w:t xml:space="preserve">  </w:t>
      </w:r>
    </w:p>
    <w:p w:rsidR="00060EAF" w:rsidRDefault="00060EAF">
      <w:pPr>
        <w:widowControl w:val="0"/>
        <w:jc w:val="both"/>
        <w:rPr>
          <w:snapToGrid w:val="0"/>
          <w:sz w:val="28"/>
          <w:szCs w:val="28"/>
        </w:rPr>
      </w:pPr>
    </w:p>
    <w:p w:rsidR="00060EAF" w:rsidRDefault="00060EAF">
      <w:pPr>
        <w:widowControl w:val="0"/>
        <w:jc w:val="both"/>
        <w:rPr>
          <w:snapToGrid w:val="0"/>
          <w:sz w:val="28"/>
          <w:szCs w:val="28"/>
        </w:rPr>
      </w:pPr>
    </w:p>
    <w:p w:rsidR="00060EAF" w:rsidRDefault="00060EAF">
      <w:pPr>
        <w:widowControl w:val="0"/>
        <w:jc w:val="center"/>
        <w:rPr>
          <w:b/>
          <w:bCs/>
          <w:snapToGrid w:val="0"/>
          <w:sz w:val="36"/>
          <w:szCs w:val="36"/>
        </w:rPr>
      </w:pPr>
      <w:r>
        <w:rPr>
          <w:b/>
          <w:bCs/>
          <w:snapToGrid w:val="0"/>
          <w:sz w:val="36"/>
          <w:szCs w:val="36"/>
        </w:rPr>
        <w:t>Кировский государственный медицинский институт</w:t>
      </w: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center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>Кафедра бионеорганической химии</w:t>
      </w: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center"/>
        <w:rPr>
          <w:snapToGrid w:val="0"/>
          <w:sz w:val="52"/>
          <w:szCs w:val="52"/>
        </w:rPr>
      </w:pPr>
      <w:r>
        <w:rPr>
          <w:snapToGrid w:val="0"/>
          <w:sz w:val="52"/>
          <w:szCs w:val="52"/>
        </w:rPr>
        <w:t>Реферат</w:t>
      </w:r>
    </w:p>
    <w:p w:rsidR="00060EAF" w:rsidRDefault="00060EAF">
      <w:pPr>
        <w:widowControl w:val="0"/>
        <w:rPr>
          <w:snapToGrid w:val="0"/>
          <w:sz w:val="28"/>
          <w:szCs w:val="28"/>
        </w:rPr>
      </w:pPr>
    </w:p>
    <w:p w:rsidR="00060EAF" w:rsidRDefault="00060EAF">
      <w:pPr>
        <w:widowControl w:val="0"/>
        <w:jc w:val="center"/>
        <w:rPr>
          <w:snapToGrid w:val="0"/>
          <w:sz w:val="36"/>
          <w:szCs w:val="36"/>
          <w:lang w:val="en-US"/>
        </w:rPr>
      </w:pPr>
      <w:r>
        <w:rPr>
          <w:snapToGrid w:val="0"/>
          <w:sz w:val="36"/>
          <w:szCs w:val="36"/>
        </w:rPr>
        <w:t>на тему</w:t>
      </w:r>
      <w:r>
        <w:rPr>
          <w:snapToGrid w:val="0"/>
          <w:sz w:val="36"/>
          <w:szCs w:val="36"/>
          <w:lang w:val="en-US"/>
        </w:rPr>
        <w:t>:</w:t>
      </w:r>
    </w:p>
    <w:p w:rsidR="00060EAF" w:rsidRDefault="00060EAF">
      <w:pPr>
        <w:widowControl w:val="0"/>
        <w:jc w:val="center"/>
        <w:rPr>
          <w:snapToGrid w:val="0"/>
          <w:sz w:val="36"/>
          <w:szCs w:val="36"/>
        </w:rPr>
      </w:pPr>
    </w:p>
    <w:p w:rsidR="00060EAF" w:rsidRDefault="00060EAF">
      <w:pPr>
        <w:widowControl w:val="0"/>
        <w:jc w:val="center"/>
        <w:rPr>
          <w:i/>
          <w:iCs/>
          <w:snapToGrid w:val="0"/>
          <w:sz w:val="56"/>
          <w:szCs w:val="56"/>
        </w:rPr>
      </w:pPr>
      <w:r>
        <w:rPr>
          <w:snapToGrid w:val="0"/>
          <w:sz w:val="56"/>
          <w:szCs w:val="56"/>
        </w:rPr>
        <w:t>Кислотно-щелочное равновесие крови</w:t>
      </w:r>
      <w:r>
        <w:rPr>
          <w:i/>
          <w:iCs/>
          <w:snapToGrid w:val="0"/>
          <w:sz w:val="56"/>
          <w:szCs w:val="56"/>
        </w:rPr>
        <w:t>.</w:t>
      </w:r>
    </w:p>
    <w:p w:rsidR="00060EAF" w:rsidRDefault="00060EAF">
      <w:pPr>
        <w:widowControl w:val="0"/>
        <w:jc w:val="center"/>
        <w:rPr>
          <w:snapToGrid w:val="0"/>
          <w:sz w:val="28"/>
          <w:szCs w:val="28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right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right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right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right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right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right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righ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Выполнила студентка </w:t>
      </w:r>
    </w:p>
    <w:p w:rsidR="00060EAF" w:rsidRDefault="00060EAF">
      <w:pPr>
        <w:keepNext/>
        <w:widowControl w:val="0"/>
        <w:jc w:val="righ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1 курса КГМИ</w:t>
      </w:r>
    </w:p>
    <w:p w:rsidR="00060EAF" w:rsidRDefault="00060EAF">
      <w:pPr>
        <w:keepNext/>
        <w:widowControl w:val="0"/>
        <w:jc w:val="right"/>
        <w:rPr>
          <w:snapToGrid w:val="0"/>
          <w:sz w:val="32"/>
          <w:szCs w:val="32"/>
        </w:rPr>
      </w:pPr>
      <w:r>
        <w:rPr>
          <w:snapToGrid w:val="0"/>
          <w:sz w:val="32"/>
          <w:szCs w:val="32"/>
        </w:rPr>
        <w:t xml:space="preserve"> Спицина Татьяна  </w:t>
      </w:r>
    </w:p>
    <w:p w:rsidR="00060EAF" w:rsidRDefault="00060EAF">
      <w:pPr>
        <w:widowControl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Группа Л-117.</w:t>
      </w:r>
    </w:p>
    <w:p w:rsidR="00060EAF" w:rsidRDefault="00060EAF">
      <w:pPr>
        <w:keepNext/>
        <w:widowControl w:val="0"/>
        <w:jc w:val="right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keepNext/>
        <w:widowControl w:val="0"/>
        <w:jc w:val="both"/>
        <w:rPr>
          <w:snapToGrid w:val="0"/>
          <w:sz w:val="32"/>
          <w:szCs w:val="32"/>
        </w:rPr>
      </w:pPr>
    </w:p>
    <w:p w:rsidR="00060EAF" w:rsidRDefault="00060EAF">
      <w:pPr>
        <w:widowControl w:val="0"/>
        <w:rPr>
          <w:snapToGrid w:val="0"/>
          <w:sz w:val="28"/>
          <w:szCs w:val="28"/>
        </w:rPr>
      </w:pPr>
    </w:p>
    <w:p w:rsidR="00060EAF" w:rsidRDefault="00060EAF">
      <w:pPr>
        <w:widowControl w:val="0"/>
        <w:rPr>
          <w:snapToGrid w:val="0"/>
          <w:sz w:val="28"/>
          <w:szCs w:val="28"/>
        </w:rPr>
      </w:pPr>
    </w:p>
    <w:p w:rsidR="00060EAF" w:rsidRDefault="00060EAF">
      <w:pPr>
        <w:widowControl w:val="0"/>
        <w:rPr>
          <w:snapToGrid w:val="0"/>
          <w:sz w:val="28"/>
          <w:szCs w:val="28"/>
        </w:rPr>
      </w:pPr>
    </w:p>
    <w:p w:rsidR="00060EAF" w:rsidRDefault="00060EAF">
      <w:pPr>
        <w:widowControl w:val="0"/>
        <w:rPr>
          <w:snapToGrid w:val="0"/>
          <w:sz w:val="28"/>
          <w:szCs w:val="28"/>
        </w:rPr>
      </w:pPr>
    </w:p>
    <w:p w:rsidR="00060EAF" w:rsidRDefault="00060EAF">
      <w:pPr>
        <w:widowControl w:val="0"/>
        <w:rPr>
          <w:snapToGrid w:val="0"/>
          <w:sz w:val="28"/>
          <w:szCs w:val="28"/>
        </w:rPr>
      </w:pPr>
      <w:bookmarkStart w:id="0" w:name="_GoBack"/>
      <w:bookmarkEnd w:id="0"/>
    </w:p>
    <w:sectPr w:rsidR="00060EAF">
      <w:pgSz w:w="12240" w:h="15840"/>
      <w:pgMar w:top="1134" w:right="850" w:bottom="1134" w:left="170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EAF"/>
    <w:rsid w:val="00060EAF"/>
    <w:rsid w:val="000969B5"/>
    <w:rsid w:val="00110E8F"/>
    <w:rsid w:val="002E2472"/>
    <w:rsid w:val="00A069FF"/>
    <w:rsid w:val="00F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EA60E-35DC-4FC1-AA75-1BEE7BF1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Кислотно-щелочное равновесие крови</vt:lpstr>
    </vt:vector>
  </TitlesOfParts>
  <Company>КГМИ</Company>
  <LinksUpToDate>false</LinksUpToDate>
  <CharactersWithSpaces>20960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Кислотно-щелочное равновесие крови</dc:title>
  <dc:subject/>
  <dc:creator>Кафедра медбиофизики</dc:creator>
  <cp:keywords/>
  <dc:description/>
  <cp:lastModifiedBy>Irina</cp:lastModifiedBy>
  <cp:revision>2</cp:revision>
  <dcterms:created xsi:type="dcterms:W3CDTF">2014-08-13T13:24:00Z</dcterms:created>
  <dcterms:modified xsi:type="dcterms:W3CDTF">2014-08-13T13:24:00Z</dcterms:modified>
</cp:coreProperties>
</file>