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28"/>
        </w:rPr>
      </w:pPr>
      <w:r w:rsidRPr="00C33E9F">
        <w:rPr>
          <w:sz w:val="28"/>
          <w:szCs w:val="28"/>
        </w:rPr>
        <w:t>ГОУ ВПО НижГМА РОСЗДРАВА</w:t>
      </w: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28"/>
        </w:rPr>
      </w:pPr>
      <w:r w:rsidRPr="00C33E9F">
        <w:rPr>
          <w:sz w:val="28"/>
          <w:szCs w:val="28"/>
        </w:rPr>
        <w:t>МЛПУ ГКБ№10</w:t>
      </w: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:rsidR="00784C5F" w:rsidRDefault="00784C5F" w:rsidP="00FD2104">
      <w:pPr>
        <w:spacing w:line="360" w:lineRule="auto"/>
        <w:ind w:firstLine="709"/>
        <w:jc w:val="center"/>
        <w:rPr>
          <w:sz w:val="28"/>
          <w:szCs w:val="32"/>
        </w:rPr>
      </w:pPr>
    </w:p>
    <w:p w:rsidR="00B166E9" w:rsidRPr="00C33E9F" w:rsidRDefault="00EF0B94" w:rsidP="00FD2104">
      <w:pPr>
        <w:spacing w:line="360" w:lineRule="auto"/>
        <w:ind w:firstLine="709"/>
        <w:jc w:val="center"/>
        <w:rPr>
          <w:sz w:val="28"/>
          <w:szCs w:val="32"/>
        </w:rPr>
      </w:pPr>
      <w:r w:rsidRPr="00C33E9F">
        <w:rPr>
          <w:sz w:val="28"/>
          <w:szCs w:val="32"/>
        </w:rPr>
        <w:t>РЕФЕРАТ</w:t>
      </w: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28"/>
        </w:rPr>
      </w:pPr>
      <w:r w:rsidRPr="00C33E9F">
        <w:rPr>
          <w:sz w:val="28"/>
          <w:szCs w:val="28"/>
        </w:rPr>
        <w:t>Клинич</w:t>
      </w:r>
      <w:r w:rsidR="00C33E9F" w:rsidRPr="00C33E9F">
        <w:rPr>
          <w:sz w:val="28"/>
          <w:szCs w:val="28"/>
        </w:rPr>
        <w:t>еская фармакология нитрофуранов</w:t>
      </w: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28"/>
        </w:rPr>
      </w:pPr>
    </w:p>
    <w:p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28"/>
        </w:rPr>
      </w:pPr>
    </w:p>
    <w:p w:rsidR="00B166E9" w:rsidRPr="00C33E9F" w:rsidRDefault="00B166E9" w:rsidP="00FD2104">
      <w:pPr>
        <w:spacing w:line="360" w:lineRule="auto"/>
        <w:ind w:firstLine="709"/>
        <w:rPr>
          <w:sz w:val="28"/>
        </w:rPr>
      </w:pPr>
      <w:r w:rsidRPr="00C33E9F">
        <w:rPr>
          <w:sz w:val="28"/>
        </w:rPr>
        <w:t>Выполнила врач-интерн МЛПУ ГКБ</w:t>
      </w:r>
      <w:r w:rsidR="00EF0B94" w:rsidRPr="00C33E9F">
        <w:rPr>
          <w:sz w:val="28"/>
        </w:rPr>
        <w:t xml:space="preserve"> </w:t>
      </w:r>
      <w:r w:rsidRPr="00C33E9F">
        <w:rPr>
          <w:sz w:val="28"/>
        </w:rPr>
        <w:t>№10</w:t>
      </w:r>
    </w:p>
    <w:p w:rsidR="00B166E9" w:rsidRPr="00C33E9F" w:rsidRDefault="00B166E9" w:rsidP="00FD2104">
      <w:pPr>
        <w:spacing w:line="360" w:lineRule="auto"/>
        <w:ind w:firstLine="709"/>
        <w:rPr>
          <w:sz w:val="28"/>
        </w:rPr>
      </w:pPr>
      <w:r w:rsidRPr="00C33E9F">
        <w:rPr>
          <w:sz w:val="28"/>
        </w:rPr>
        <w:t>Плесовских Антонина Борисовна</w:t>
      </w:r>
    </w:p>
    <w:p w:rsidR="00B166E9" w:rsidRPr="00C33E9F" w:rsidRDefault="00C33E9F" w:rsidP="0005750A">
      <w:pPr>
        <w:spacing w:line="360" w:lineRule="auto"/>
        <w:ind w:firstLine="709"/>
        <w:jc w:val="both"/>
        <w:rPr>
          <w:b/>
          <w:sz w:val="28"/>
        </w:rPr>
      </w:pPr>
      <w:r w:rsidRPr="00C33E9F">
        <w:rPr>
          <w:sz w:val="28"/>
        </w:rPr>
        <w:br w:type="page"/>
      </w:r>
      <w:r w:rsidRPr="00C33E9F">
        <w:rPr>
          <w:b/>
          <w:sz w:val="28"/>
        </w:rPr>
        <w:t>План</w:t>
      </w:r>
    </w:p>
    <w:p w:rsidR="00C33E9F" w:rsidRPr="00C33E9F" w:rsidRDefault="00C33E9F" w:rsidP="0005750A">
      <w:pPr>
        <w:spacing w:line="360" w:lineRule="auto"/>
        <w:ind w:firstLine="709"/>
        <w:jc w:val="both"/>
        <w:rPr>
          <w:sz w:val="28"/>
          <w:szCs w:val="28"/>
        </w:rPr>
      </w:pPr>
    </w:p>
    <w:p w:rsidR="00B166E9" w:rsidRPr="00C33E9F" w:rsidRDefault="00B166E9" w:rsidP="00572E79">
      <w:pPr>
        <w:spacing w:line="360" w:lineRule="auto"/>
        <w:jc w:val="both"/>
        <w:rPr>
          <w:sz w:val="28"/>
        </w:rPr>
      </w:pPr>
      <w:r w:rsidRPr="00C33E9F">
        <w:rPr>
          <w:sz w:val="28"/>
        </w:rPr>
        <w:t>Введение</w:t>
      </w:r>
    </w:p>
    <w:p w:rsidR="00B166E9" w:rsidRPr="00C33E9F" w:rsidRDefault="00B166E9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Механизм действия нитрофуранов</w:t>
      </w:r>
    </w:p>
    <w:p w:rsidR="00B166E9" w:rsidRPr="00C33E9F" w:rsidRDefault="00B166E9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Фармакокинетика нитрофурантоина</w:t>
      </w:r>
    </w:p>
    <w:p w:rsidR="00B166E9" w:rsidRPr="00C33E9F" w:rsidRDefault="00B166E9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Нежелательные реакции</w:t>
      </w:r>
    </w:p>
    <w:p w:rsidR="00B166E9" w:rsidRPr="00C33E9F" w:rsidRDefault="00802841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Показания</w:t>
      </w:r>
    </w:p>
    <w:p w:rsidR="00802841" w:rsidRPr="00C33E9F" w:rsidRDefault="00802841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Противопоказания</w:t>
      </w:r>
    </w:p>
    <w:p w:rsidR="00802841" w:rsidRPr="00C33E9F" w:rsidRDefault="00802841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Предупреждения</w:t>
      </w:r>
    </w:p>
    <w:p w:rsidR="001F2C19" w:rsidRPr="00C33E9F" w:rsidRDefault="001F2C19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Лекар</w:t>
      </w:r>
      <w:r w:rsidR="00C33E9F" w:rsidRPr="00C33E9F">
        <w:rPr>
          <w:sz w:val="28"/>
        </w:rPr>
        <w:t>ственные взаимодействия</w:t>
      </w:r>
    </w:p>
    <w:p w:rsidR="00802841" w:rsidRPr="00C33E9F" w:rsidRDefault="00802841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Информаци</w:t>
      </w:r>
      <w:r w:rsidR="001F2C19" w:rsidRPr="00C33E9F">
        <w:rPr>
          <w:sz w:val="28"/>
        </w:rPr>
        <w:t>я</w:t>
      </w:r>
      <w:r w:rsidRPr="00C33E9F">
        <w:rPr>
          <w:sz w:val="28"/>
        </w:rPr>
        <w:t xml:space="preserve"> для пациентов</w:t>
      </w:r>
    </w:p>
    <w:p w:rsidR="00802841" w:rsidRPr="00C33E9F" w:rsidRDefault="00802841" w:rsidP="00572E79">
      <w:pPr>
        <w:spacing w:line="360" w:lineRule="auto"/>
        <w:jc w:val="both"/>
        <w:rPr>
          <w:sz w:val="28"/>
        </w:rPr>
      </w:pPr>
      <w:r w:rsidRPr="00C33E9F">
        <w:rPr>
          <w:sz w:val="28"/>
        </w:rPr>
        <w:t>Выводы</w:t>
      </w:r>
    </w:p>
    <w:p w:rsidR="001F2C19" w:rsidRPr="0005750A" w:rsidRDefault="00C33E9F" w:rsidP="0005750A">
      <w:pPr>
        <w:spacing w:line="360" w:lineRule="auto"/>
        <w:ind w:firstLine="709"/>
        <w:jc w:val="both"/>
        <w:rPr>
          <w:b/>
          <w:sz w:val="28"/>
        </w:rPr>
      </w:pPr>
      <w:r w:rsidRPr="00C33E9F">
        <w:rPr>
          <w:sz w:val="28"/>
        </w:rPr>
        <w:br w:type="page"/>
      </w:r>
      <w:r w:rsidR="001F2C19" w:rsidRPr="0005750A">
        <w:rPr>
          <w:b/>
          <w:sz w:val="28"/>
        </w:rPr>
        <w:t>Введение</w:t>
      </w:r>
    </w:p>
    <w:p w:rsidR="001F2C19" w:rsidRPr="0005750A" w:rsidRDefault="001F2C19" w:rsidP="0005750A">
      <w:pPr>
        <w:spacing w:line="360" w:lineRule="auto"/>
        <w:ind w:firstLine="709"/>
        <w:jc w:val="both"/>
        <w:rPr>
          <w:sz w:val="28"/>
        </w:rPr>
      </w:pPr>
    </w:p>
    <w:p w:rsidR="002A0B92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Нитрофураны являются вторым после сульфаниламидов классом синтетических антибактериальных препаратов, предложенным для широкого медицинского применения. Они уступают по клинической эффективности большинству антибиотиков и имеют значение главным образо</w:t>
      </w:r>
      <w:r w:rsidR="00AB1081" w:rsidRPr="00C33E9F">
        <w:rPr>
          <w:sz w:val="28"/>
        </w:rPr>
        <w:t>м при лечении острых не осложненн</w:t>
      </w:r>
      <w:r w:rsidRPr="00C33E9F">
        <w:rPr>
          <w:sz w:val="28"/>
        </w:rPr>
        <w:t>ых форм инфекции МВП (нитрофурантоин, фуразидин), кишечных инфекций (нифуроксазид) и некоторых протозойных инфекций</w:t>
      </w:r>
      <w:r w:rsidR="0005750A">
        <w:rPr>
          <w:sz w:val="28"/>
        </w:rPr>
        <w:t>.</w:t>
      </w:r>
    </w:p>
    <w:p w:rsidR="00B166E9" w:rsidRPr="0005750A" w:rsidRDefault="000D1A51" w:rsidP="0005750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B166E9" w:rsidRPr="0005750A">
        <w:rPr>
          <w:b/>
          <w:sz w:val="28"/>
        </w:rPr>
        <w:t>Механизм действия</w:t>
      </w:r>
    </w:p>
    <w:p w:rsidR="0005750A" w:rsidRDefault="0005750A" w:rsidP="0005750A">
      <w:pPr>
        <w:spacing w:line="360" w:lineRule="auto"/>
        <w:ind w:firstLine="709"/>
        <w:jc w:val="both"/>
        <w:rPr>
          <w:sz w:val="28"/>
        </w:rPr>
      </w:pP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Являясь акцепторами кислорода, нитрофураны нарушают процесс клеточного дыхания бактерий, ингибируют биосинтез нуклеиновых кислот. В зависимости от концентрации оказывают бактериостатический или бактерицидный эффект. К нитрофуранам редко развивается лекарственная резистентность микроорганизмов.</w:t>
      </w:r>
    </w:p>
    <w:p w:rsidR="002A0B92" w:rsidRPr="00FD2104" w:rsidRDefault="002A0B92" w:rsidP="0005750A">
      <w:pPr>
        <w:spacing w:line="360" w:lineRule="auto"/>
        <w:ind w:firstLine="709"/>
        <w:jc w:val="both"/>
        <w:rPr>
          <w:sz w:val="28"/>
        </w:rPr>
      </w:pPr>
    </w:p>
    <w:p w:rsidR="00B166E9" w:rsidRPr="0005750A" w:rsidRDefault="00B166E9" w:rsidP="0005750A">
      <w:pPr>
        <w:spacing w:line="360" w:lineRule="auto"/>
        <w:ind w:firstLine="709"/>
        <w:jc w:val="both"/>
        <w:rPr>
          <w:b/>
          <w:sz w:val="28"/>
        </w:rPr>
      </w:pPr>
      <w:r w:rsidRPr="0005750A">
        <w:rPr>
          <w:b/>
          <w:sz w:val="28"/>
        </w:rPr>
        <w:t>Спектр активности</w:t>
      </w:r>
    </w:p>
    <w:p w:rsidR="0005750A" w:rsidRDefault="0005750A" w:rsidP="0005750A">
      <w:pPr>
        <w:spacing w:line="360" w:lineRule="auto"/>
        <w:ind w:firstLine="709"/>
        <w:jc w:val="both"/>
        <w:rPr>
          <w:sz w:val="28"/>
        </w:rPr>
      </w:pP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Нитрофураны характеризуются достаточно широким спектром действия и в высоких концентрациях in vitro активны в отношении многих грамотрицательных (E.coli, K.pneumoniae и др.) и грамположительных бактерий, некоторых анаэробов, грибов рода Candida. Малочувствительны энтерококки. Устойчивы P.aeruginosa, большинство штаммов протея, серрации, провиденции, ацинетобактера. Кроме того, фуразолидон и нифурател активны в отношении некоторых простейших (лямблии, трихомонады).</w:t>
      </w:r>
    </w:p>
    <w:p w:rsidR="000D1A51" w:rsidRDefault="000D1A51" w:rsidP="0005750A">
      <w:pPr>
        <w:spacing w:line="360" w:lineRule="auto"/>
        <w:ind w:firstLine="709"/>
        <w:jc w:val="both"/>
        <w:rPr>
          <w:b/>
          <w:sz w:val="28"/>
        </w:rPr>
      </w:pPr>
    </w:p>
    <w:p w:rsidR="00B166E9" w:rsidRPr="0005750A" w:rsidRDefault="00B166E9" w:rsidP="0005750A">
      <w:pPr>
        <w:spacing w:line="360" w:lineRule="auto"/>
        <w:ind w:firstLine="709"/>
        <w:jc w:val="both"/>
        <w:rPr>
          <w:b/>
          <w:sz w:val="28"/>
        </w:rPr>
      </w:pPr>
      <w:r w:rsidRPr="0005750A">
        <w:rPr>
          <w:b/>
          <w:sz w:val="28"/>
        </w:rPr>
        <w:t>Фармакокинетика</w:t>
      </w:r>
    </w:p>
    <w:p w:rsidR="0005750A" w:rsidRDefault="0005750A" w:rsidP="0005750A">
      <w:pPr>
        <w:spacing w:line="360" w:lineRule="auto"/>
        <w:ind w:firstLine="709"/>
        <w:jc w:val="both"/>
        <w:rPr>
          <w:sz w:val="28"/>
        </w:rPr>
      </w:pP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Среди нитрофуранов лучше изучена фармакокинетика нитрофурантоина. При приеме внутрь нитрофураны хорошо и быстро всасываются. Не создают высоких концентраций в крови и тканях (включая почки), так как быстро выводятся из организма (период полувыведения в пределах 1 ч). Нитрофурантоин и фуразидин накапливаются в моче в высоких концентрациях, фуразолидон - только в количестве 5% принятой дозы (поскольку в значительной степени метаболизируется). Частично экскретируются с желчью и создают высокие концентрации в просвете кишечника. При почечной недостаточности выведение нитрофуранов значительно замедляется.</w:t>
      </w:r>
    </w:p>
    <w:p w:rsidR="002A0B92" w:rsidRPr="00FD2104" w:rsidRDefault="002A0B92" w:rsidP="0005750A">
      <w:pPr>
        <w:spacing w:line="360" w:lineRule="auto"/>
        <w:ind w:firstLine="709"/>
        <w:jc w:val="both"/>
        <w:rPr>
          <w:sz w:val="28"/>
        </w:rPr>
      </w:pPr>
    </w:p>
    <w:p w:rsidR="00B166E9" w:rsidRDefault="00B166E9" w:rsidP="0005750A">
      <w:pPr>
        <w:spacing w:line="360" w:lineRule="auto"/>
        <w:ind w:firstLine="709"/>
        <w:jc w:val="both"/>
        <w:rPr>
          <w:b/>
          <w:sz w:val="28"/>
        </w:rPr>
      </w:pPr>
      <w:r w:rsidRPr="0005750A">
        <w:rPr>
          <w:b/>
          <w:sz w:val="28"/>
        </w:rPr>
        <w:t>Нежелательные реакции</w:t>
      </w:r>
    </w:p>
    <w:p w:rsidR="0005750A" w:rsidRPr="0005750A" w:rsidRDefault="0005750A" w:rsidP="0005750A">
      <w:pPr>
        <w:spacing w:line="360" w:lineRule="auto"/>
        <w:ind w:firstLine="709"/>
        <w:jc w:val="both"/>
        <w:rPr>
          <w:b/>
          <w:sz w:val="28"/>
        </w:rPr>
      </w:pP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ЖКТ: тошнота, рвота, диарея.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Печень: транзиторное повышение активности трансаминаз, холестаз, гепатит.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Аллергические реакции: сыпь, эозинофилия, лихорадка, артралгия, миалгия, волчаночноподобный синдром, редко - анафилактический шок.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Легкие: пневмонит (при приеме нитрофурантоина), бронхоспазм, кашель, боль в грудной клетке.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Нервная система: головокружение, головная боль, общая слабость, сонливость, периферические полинейропатии.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Гематологические реакции: лейкопения, мегалобластная или гемолитическая анемия.</w:t>
      </w:r>
    </w:p>
    <w:p w:rsidR="00B166E9" w:rsidRPr="0005750A" w:rsidRDefault="00B166E9" w:rsidP="0005750A">
      <w:pPr>
        <w:spacing w:line="360" w:lineRule="auto"/>
        <w:ind w:firstLine="709"/>
        <w:jc w:val="both"/>
        <w:rPr>
          <w:i/>
          <w:sz w:val="28"/>
        </w:rPr>
      </w:pPr>
      <w:r w:rsidRPr="0005750A">
        <w:rPr>
          <w:i/>
          <w:sz w:val="28"/>
        </w:rPr>
        <w:t>Показания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Инфекции нижних отделов МВП: острый цистит, супрессивная терапия хронических инфекций (нитрофурантоин, фуразидин).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Профилактика инфекционных осложнений при урологических операциях, цистоскопии, катетеризации мочевого пузыря (нитрофурантоин, фуразидин).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Кишечные инфекции: острая инфекционная диарея, энтероколит (нифуроксазид, нифурател).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Лямблиоз (фуразолидон, нифурател).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Трихомониаз (нифурател, фуразолидон).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Местно - промывание ран и полостей (фуразидин).</w:t>
      </w:r>
    </w:p>
    <w:p w:rsidR="00B166E9" w:rsidRPr="0005750A" w:rsidRDefault="00B166E9" w:rsidP="0005750A">
      <w:pPr>
        <w:spacing w:line="360" w:lineRule="auto"/>
        <w:ind w:firstLine="709"/>
        <w:jc w:val="both"/>
        <w:rPr>
          <w:i/>
          <w:sz w:val="28"/>
        </w:rPr>
      </w:pPr>
      <w:r w:rsidRPr="0005750A">
        <w:rPr>
          <w:i/>
          <w:sz w:val="28"/>
        </w:rPr>
        <w:t>Противопоказания</w:t>
      </w:r>
    </w:p>
    <w:p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 xml:space="preserve">- </w:t>
      </w:r>
      <w:r w:rsidR="00B166E9" w:rsidRPr="00C33E9F">
        <w:rPr>
          <w:sz w:val="28"/>
        </w:rPr>
        <w:t>Аллергические реакции на нитрофураны.</w:t>
      </w:r>
    </w:p>
    <w:p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 xml:space="preserve">- </w:t>
      </w:r>
      <w:r w:rsidR="00B166E9" w:rsidRPr="00C33E9F">
        <w:rPr>
          <w:sz w:val="28"/>
        </w:rPr>
        <w:t>Почечная недостаточность (нитрофурантоин, фуразидин).</w:t>
      </w:r>
    </w:p>
    <w:p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 xml:space="preserve">- </w:t>
      </w:r>
      <w:r w:rsidR="00B166E9" w:rsidRPr="00C33E9F">
        <w:rPr>
          <w:sz w:val="28"/>
        </w:rPr>
        <w:t>Тяжелая патология печени (фуразолидон).</w:t>
      </w:r>
    </w:p>
    <w:p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 xml:space="preserve">- </w:t>
      </w:r>
      <w:r w:rsidR="00B166E9" w:rsidRPr="00C33E9F">
        <w:rPr>
          <w:sz w:val="28"/>
        </w:rPr>
        <w:t>Дефицит глюкозо-6-фосфатдегидрогеназы.</w:t>
      </w:r>
    </w:p>
    <w:p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 xml:space="preserve">- </w:t>
      </w:r>
      <w:r w:rsidR="00B166E9" w:rsidRPr="00C33E9F">
        <w:rPr>
          <w:sz w:val="28"/>
        </w:rPr>
        <w:t>Беременность - III триместр (нитрофурантоин).</w:t>
      </w:r>
    </w:p>
    <w:p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FD2104">
        <w:rPr>
          <w:sz w:val="28"/>
        </w:rPr>
        <w:t xml:space="preserve">- </w:t>
      </w:r>
      <w:r w:rsidR="00B166E9" w:rsidRPr="00C33E9F">
        <w:rPr>
          <w:sz w:val="28"/>
        </w:rPr>
        <w:t>Новорожденным.</w:t>
      </w:r>
    </w:p>
    <w:p w:rsidR="00B166E9" w:rsidRPr="0005750A" w:rsidRDefault="00B166E9" w:rsidP="0005750A">
      <w:pPr>
        <w:spacing w:line="360" w:lineRule="auto"/>
        <w:ind w:firstLine="709"/>
        <w:jc w:val="both"/>
        <w:rPr>
          <w:i/>
          <w:sz w:val="28"/>
        </w:rPr>
      </w:pPr>
      <w:r w:rsidRPr="0005750A">
        <w:rPr>
          <w:i/>
          <w:sz w:val="28"/>
        </w:rPr>
        <w:t>Предупреждения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Аллергия. Перекрестная ко всем производным нитрофурана.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Беременность. Применение нитрофурантоина при беременности возможно только во II триместре. Данных об использовании других нитрофуранов при беременности недостаточно, чтобы рекомендовать их применение.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Кормление грудью. Нитрофураны способны проникать в грудное молоко. В связи с незрелостью ферментных систем у новорожденных и связанным с этим риском гемолитической анемии не рекомендуется применять нитрофураны кормящим женщинам.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Педиатрия. Не следует использовать нитрофураны новорожденным в связи с незрелостью ферментных систем и связанным с этим риском гемолитической анемии.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Гериатрия. У людей пожилого возраста необходимо применять с осторожностью в связи с возможными изменениями функции почек. Может потребоваться уменьшение дозы. Возрастает риск развития пневмонита и периферических полинейропатий.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Нарушение функции почек. Нитрофурантоин и фуразидин противопоказаны при почечной недостаточности, так как в этом случае они не создают терапевтических концентраций в моче, кумулируются и могут оказать токсическое действие.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Нарушение функции печени. При исходной патологии печени возрастает риск гепатотоксического действия.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Другие сопутствующие заболевания. Риск периферических полинейропатий повышается при анемии, сахарном диабете, нарушениях электролитного баланса, гиповитаминозах В. С целью профилактики следует назначать витамины группы В.</w:t>
      </w:r>
    </w:p>
    <w:p w:rsidR="00B166E9" w:rsidRPr="00724491" w:rsidRDefault="00B166E9" w:rsidP="0005750A">
      <w:pPr>
        <w:spacing w:line="360" w:lineRule="auto"/>
        <w:ind w:firstLine="709"/>
        <w:jc w:val="both"/>
        <w:rPr>
          <w:i/>
          <w:sz w:val="28"/>
        </w:rPr>
      </w:pPr>
      <w:r w:rsidRPr="00724491">
        <w:rPr>
          <w:i/>
          <w:sz w:val="28"/>
        </w:rPr>
        <w:t>Лекарственные взаимодействия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Активность нитрофурантоина и фуразидина уменьшается под влиянием хинолонов.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При сочетании с хлорамфениколом увеличивается риск угнетения кроветворения.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При совместном применении с алкоголем фуразолидон может вызывать дисульфирамоподобную реакцию.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При одновременном применении фуразолидона, являющегося ингибитором МАО, с другими ингибиторами МАО, симпатомиметиками, трициклическими антидепрессантами или пищевыми продуктами, содержащими тирамин, возникает риск развития гипертонического криза.</w:t>
      </w:r>
    </w:p>
    <w:p w:rsidR="002A0B92" w:rsidRPr="0005750A" w:rsidRDefault="002A0B92" w:rsidP="0005750A">
      <w:pPr>
        <w:spacing w:line="360" w:lineRule="auto"/>
        <w:ind w:firstLine="709"/>
        <w:jc w:val="both"/>
        <w:rPr>
          <w:sz w:val="28"/>
        </w:rPr>
      </w:pPr>
    </w:p>
    <w:p w:rsidR="00B166E9" w:rsidRPr="0005750A" w:rsidRDefault="00B166E9" w:rsidP="0005750A">
      <w:pPr>
        <w:spacing w:line="360" w:lineRule="auto"/>
        <w:ind w:firstLine="709"/>
        <w:jc w:val="both"/>
        <w:rPr>
          <w:b/>
          <w:sz w:val="28"/>
        </w:rPr>
      </w:pPr>
      <w:r w:rsidRPr="0005750A">
        <w:rPr>
          <w:b/>
          <w:sz w:val="28"/>
        </w:rPr>
        <w:t>Информация для пациентов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Принимать внутрь после еды, запивать достаточным количеством воды (100-200 мл).</w:t>
      </w:r>
    </w:p>
    <w:p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В случае пропуска дозы принять ее как можно скорее; не принимать, если почти наступило время приема следующей дозы; не удваивать дозу. Выдерживать длительность терапии, особенно при стрептококковых инфекциях.</w:t>
      </w:r>
      <w:r w:rsidR="0005750A">
        <w:rPr>
          <w:sz w:val="28"/>
        </w:rPr>
        <w:t xml:space="preserve"> </w:t>
      </w:r>
      <w:r w:rsidRPr="00C33E9F">
        <w:rPr>
          <w:sz w:val="28"/>
        </w:rPr>
        <w:t>Проконсультироваться с врачом, если улучшение не наступает в течение нескольких дней или появляются новые симптомы.</w:t>
      </w:r>
      <w:r w:rsidR="0005750A">
        <w:rPr>
          <w:sz w:val="28"/>
        </w:rPr>
        <w:t xml:space="preserve"> </w:t>
      </w:r>
      <w:r w:rsidRPr="00C33E9F">
        <w:rPr>
          <w:sz w:val="28"/>
        </w:rPr>
        <w:t>Не употреблять алкогольные напитки во время терапии фуразолидоном и в течение 4 дней после ее отмены.</w:t>
      </w:r>
      <w:r w:rsidR="0005750A">
        <w:rPr>
          <w:sz w:val="28"/>
        </w:rPr>
        <w:t xml:space="preserve"> </w:t>
      </w:r>
      <w:r w:rsidRPr="00C33E9F">
        <w:rPr>
          <w:sz w:val="28"/>
        </w:rPr>
        <w:t>Во время терапии фуразолидоном не следует употреблять в большом количестве продукты и напитки, содержащие тирамин (сыр, пиво, вино, фасоль, копчености).</w:t>
      </w:r>
      <w:r w:rsidR="0005750A">
        <w:rPr>
          <w:sz w:val="28"/>
        </w:rPr>
        <w:t xml:space="preserve"> </w:t>
      </w:r>
      <w:r w:rsidRPr="00C33E9F">
        <w:rPr>
          <w:sz w:val="28"/>
        </w:rPr>
        <w:t>Во время лечения фуразолидоном не следует без назначения врача принимать препараты для лечения кашля и простуды.</w:t>
      </w:r>
      <w:r w:rsidR="0005750A">
        <w:rPr>
          <w:sz w:val="28"/>
        </w:rPr>
        <w:t xml:space="preserve"> </w:t>
      </w:r>
      <w:r w:rsidRPr="00C33E9F">
        <w:rPr>
          <w:sz w:val="28"/>
        </w:rPr>
        <w:t>Соблюдать осторожность при головокружении.</w:t>
      </w:r>
      <w:r w:rsidR="0005750A">
        <w:rPr>
          <w:sz w:val="28"/>
        </w:rPr>
        <w:t xml:space="preserve"> </w:t>
      </w:r>
      <w:r w:rsidRPr="00C33E9F">
        <w:rPr>
          <w:sz w:val="28"/>
        </w:rPr>
        <w:t>Нитрофурантоин и фуразидин могут окрашивать мочу в ржаво-желтый или коричневатый цвет.</w:t>
      </w:r>
    </w:p>
    <w:p w:rsidR="00802841" w:rsidRDefault="0005750A" w:rsidP="0005750A">
      <w:pPr>
        <w:tabs>
          <w:tab w:val="left" w:pos="8085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Выводы</w:t>
      </w:r>
    </w:p>
    <w:p w:rsidR="0005750A" w:rsidRPr="0005750A" w:rsidRDefault="0005750A" w:rsidP="0005750A">
      <w:pPr>
        <w:tabs>
          <w:tab w:val="left" w:pos="8085"/>
        </w:tabs>
        <w:spacing w:line="360" w:lineRule="auto"/>
        <w:ind w:firstLine="709"/>
        <w:jc w:val="both"/>
        <w:rPr>
          <w:b/>
          <w:sz w:val="28"/>
        </w:rPr>
      </w:pPr>
    </w:p>
    <w:p w:rsidR="00802841" w:rsidRPr="00C33E9F" w:rsidRDefault="00802841" w:rsidP="0005750A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C33E9F">
        <w:rPr>
          <w:sz w:val="28"/>
        </w:rPr>
        <w:t>Нитрофураны имеют значение</w:t>
      </w:r>
      <w:r w:rsidR="0005750A">
        <w:rPr>
          <w:sz w:val="28"/>
        </w:rPr>
        <w:t>,</w:t>
      </w:r>
      <w:r w:rsidRPr="00C33E9F">
        <w:rPr>
          <w:sz w:val="28"/>
        </w:rPr>
        <w:t xml:space="preserve"> главным образом</w:t>
      </w:r>
      <w:r w:rsidR="0005750A">
        <w:rPr>
          <w:sz w:val="28"/>
        </w:rPr>
        <w:t>,</w:t>
      </w:r>
      <w:r w:rsidRPr="00C33E9F">
        <w:rPr>
          <w:sz w:val="28"/>
        </w:rPr>
        <w:t xml:space="preserve"> при лечении острых неосложненных форм инфекции МВП, кишечных и протозойных инфекций</w:t>
      </w:r>
    </w:p>
    <w:p w:rsidR="00802841" w:rsidRPr="00C33E9F" w:rsidRDefault="00802841" w:rsidP="0005750A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C33E9F">
        <w:rPr>
          <w:sz w:val="28"/>
        </w:rPr>
        <w:t>Оказывают бактериостатический или бактерицидный эффект. К нитрофуранам редко развивается лекарственная резистентность микроорганизмов</w:t>
      </w:r>
    </w:p>
    <w:p w:rsidR="00802841" w:rsidRPr="00C33E9F" w:rsidRDefault="00802841" w:rsidP="0005750A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C33E9F">
        <w:rPr>
          <w:sz w:val="28"/>
        </w:rPr>
        <w:t>Нитрофураны характеризуются достаточно широким спектром действия</w:t>
      </w:r>
    </w:p>
    <w:p w:rsidR="00802841" w:rsidRPr="00C33E9F" w:rsidRDefault="00EB578D" w:rsidP="0005750A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C33E9F">
        <w:rPr>
          <w:sz w:val="28"/>
        </w:rPr>
        <w:t>Быстро выводятся из организма</w:t>
      </w:r>
    </w:p>
    <w:p w:rsidR="00EB578D" w:rsidRPr="0005750A" w:rsidRDefault="0005750A" w:rsidP="0005750A">
      <w:pPr>
        <w:tabs>
          <w:tab w:val="left" w:pos="8085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05750A">
        <w:rPr>
          <w:b/>
          <w:sz w:val="28"/>
        </w:rPr>
        <w:t>Литература</w:t>
      </w:r>
    </w:p>
    <w:p w:rsidR="0005750A" w:rsidRPr="00C33E9F" w:rsidRDefault="0005750A" w:rsidP="0005750A">
      <w:pPr>
        <w:tabs>
          <w:tab w:val="left" w:pos="8085"/>
        </w:tabs>
        <w:spacing w:line="360" w:lineRule="auto"/>
        <w:ind w:firstLine="709"/>
        <w:jc w:val="both"/>
        <w:rPr>
          <w:sz w:val="28"/>
        </w:rPr>
      </w:pPr>
    </w:p>
    <w:p w:rsidR="00EB578D" w:rsidRPr="00C33E9F" w:rsidRDefault="00EB578D" w:rsidP="0005750A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http://www.antibiotic.ru</w:t>
      </w:r>
    </w:p>
    <w:p w:rsidR="00EB578D" w:rsidRPr="00C33E9F" w:rsidRDefault="002A0B92" w:rsidP="0005750A">
      <w:pPr>
        <w:numPr>
          <w:ilvl w:val="1"/>
          <w:numId w:val="2"/>
        </w:numPr>
        <w:tabs>
          <w:tab w:val="left" w:pos="8085"/>
        </w:tabs>
        <w:spacing w:line="360" w:lineRule="auto"/>
        <w:ind w:left="0" w:firstLine="0"/>
        <w:jc w:val="both"/>
        <w:rPr>
          <w:sz w:val="28"/>
        </w:rPr>
      </w:pPr>
      <w:r w:rsidRPr="00203633">
        <w:rPr>
          <w:sz w:val="28"/>
        </w:rPr>
        <w:t>http://www.mma.ru/form/35/antibak/ftorh/</w:t>
      </w:r>
    </w:p>
    <w:p w:rsidR="00EB578D" w:rsidRPr="00C33E9F" w:rsidRDefault="00EB578D" w:rsidP="0005750A">
      <w:pPr>
        <w:numPr>
          <w:ilvl w:val="1"/>
          <w:numId w:val="2"/>
        </w:numPr>
        <w:tabs>
          <w:tab w:val="left" w:pos="8085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http://www.kuban.su:8102/medicine/shtm/baza/lek/klfhtm/part15/15-20.htm</w:t>
      </w:r>
      <w:bookmarkStart w:id="0" w:name="_GoBack"/>
      <w:bookmarkEnd w:id="0"/>
    </w:p>
    <w:sectPr w:rsidR="00EB578D" w:rsidRPr="00C33E9F" w:rsidSect="00C33E9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FF" w:rsidRDefault="004813FF">
      <w:r>
        <w:separator/>
      </w:r>
    </w:p>
  </w:endnote>
  <w:endnote w:type="continuationSeparator" w:id="0">
    <w:p w:rsidR="004813FF" w:rsidRDefault="0048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45" w:rsidRDefault="00BF2E45" w:rsidP="00B15D74">
    <w:pPr>
      <w:pStyle w:val="a3"/>
      <w:framePr w:wrap="around" w:vAnchor="text" w:hAnchor="margin" w:xAlign="right" w:y="1"/>
      <w:rPr>
        <w:rStyle w:val="a5"/>
      </w:rPr>
    </w:pPr>
  </w:p>
  <w:p w:rsidR="00BF2E45" w:rsidRDefault="00BF2E45" w:rsidP="00B166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45" w:rsidRDefault="00203633" w:rsidP="00B15D7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F2E45" w:rsidRDefault="00BF2E45" w:rsidP="00B166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FF" w:rsidRDefault="004813FF">
      <w:r>
        <w:separator/>
      </w:r>
    </w:p>
  </w:footnote>
  <w:footnote w:type="continuationSeparator" w:id="0">
    <w:p w:rsidR="004813FF" w:rsidRDefault="0048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B5057"/>
    <w:multiLevelType w:val="hybridMultilevel"/>
    <w:tmpl w:val="08EA7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6F07AE"/>
    <w:multiLevelType w:val="hybridMultilevel"/>
    <w:tmpl w:val="877C1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6E9"/>
    <w:rsid w:val="00041F2B"/>
    <w:rsid w:val="0005750A"/>
    <w:rsid w:val="000D1A51"/>
    <w:rsid w:val="001F2C19"/>
    <w:rsid w:val="00203633"/>
    <w:rsid w:val="002740C4"/>
    <w:rsid w:val="002A0B92"/>
    <w:rsid w:val="00425ACE"/>
    <w:rsid w:val="004813FF"/>
    <w:rsid w:val="00572E79"/>
    <w:rsid w:val="005A79FC"/>
    <w:rsid w:val="00627F5A"/>
    <w:rsid w:val="006D7230"/>
    <w:rsid w:val="00724491"/>
    <w:rsid w:val="00761F52"/>
    <w:rsid w:val="00784C5F"/>
    <w:rsid w:val="007D4060"/>
    <w:rsid w:val="00802841"/>
    <w:rsid w:val="009F43E5"/>
    <w:rsid w:val="00A52EE1"/>
    <w:rsid w:val="00AB1081"/>
    <w:rsid w:val="00B15D74"/>
    <w:rsid w:val="00B166E9"/>
    <w:rsid w:val="00B72B15"/>
    <w:rsid w:val="00BF2E45"/>
    <w:rsid w:val="00C33E9F"/>
    <w:rsid w:val="00EB578D"/>
    <w:rsid w:val="00EF0B94"/>
    <w:rsid w:val="00F65EF1"/>
    <w:rsid w:val="00F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A6FCD4-7B5D-4498-93BD-898D031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66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166E9"/>
    <w:rPr>
      <w:rFonts w:cs="Times New Roman"/>
    </w:rPr>
  </w:style>
  <w:style w:type="character" w:styleId="a6">
    <w:name w:val="Hyperlink"/>
    <w:uiPriority w:val="99"/>
    <w:rsid w:val="00EB57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ГОУ ВПО НижГМА РОСЗДРАВА</vt:lpstr>
    </vt:vector>
  </TitlesOfParts>
  <Company>home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ГОУ ВПО НижГМА РОСЗДРАВА</dc:title>
  <dc:subject/>
  <dc:creator>User</dc:creator>
  <cp:keywords/>
  <dc:description/>
  <cp:lastModifiedBy>admin</cp:lastModifiedBy>
  <cp:revision>2</cp:revision>
  <dcterms:created xsi:type="dcterms:W3CDTF">2014-02-25T01:25:00Z</dcterms:created>
  <dcterms:modified xsi:type="dcterms:W3CDTF">2014-02-25T01:25:00Z</dcterms:modified>
</cp:coreProperties>
</file>