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85" w:rsidRPr="00970E85" w:rsidRDefault="00970E85" w:rsidP="00970E85">
      <w:pPr>
        <w:spacing w:before="120"/>
        <w:jc w:val="center"/>
        <w:rPr>
          <w:b/>
          <w:bCs/>
          <w:color w:val="006666"/>
          <w:kern w:val="36"/>
          <w:sz w:val="32"/>
          <w:szCs w:val="32"/>
        </w:rPr>
      </w:pPr>
      <w:r w:rsidRPr="00970E85">
        <w:rPr>
          <w:b/>
          <w:bCs/>
          <w:color w:val="006666"/>
          <w:kern w:val="36"/>
          <w:sz w:val="32"/>
          <w:szCs w:val="32"/>
        </w:rPr>
        <w:t>Кольцевой орбитальный резонанс</w:t>
      </w:r>
    </w:p>
    <w:p w:rsidR="00970E85" w:rsidRPr="00970E85" w:rsidRDefault="00970E85" w:rsidP="00970E85">
      <w:pPr>
        <w:spacing w:before="120"/>
        <w:jc w:val="center"/>
        <w:rPr>
          <w:b/>
          <w:bCs/>
          <w:color w:val="003366"/>
          <w:sz w:val="28"/>
          <w:szCs w:val="28"/>
        </w:rPr>
      </w:pPr>
      <w:r w:rsidRPr="00970E85">
        <w:rPr>
          <w:b/>
          <w:bCs/>
          <w:color w:val="003366"/>
          <w:sz w:val="28"/>
          <w:szCs w:val="28"/>
        </w:rPr>
        <w:t>Кирилл Бутусов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В 1978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г. нами была опубликована работа «Золотое сечение в Солнечной системе» [1], где было показано, что в Солнечной системе наблюдается явление резонанса волн биений, приводящее к тому, что периоды и частоты обращений планет образуют геометрическую прогрессию со знаменателями Ф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=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1,6180339 и Ф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=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2,6180339, хорошо отображаемые числовыми рядами: Фибоначчи (1, 2, 3, 5, 8, 13, 21, 34, 55, 89, 144, 233, 377, 610, 987...) и Люка (2, 1, 3, 4, 7, 11, 18, 29, 47, 76, 123, 199, 322, 521, 843...), см. табл. 1, где n – числа Люка и Фибоначчи, а δ% – отклонение от резонансного значения nT в %.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Таблица 1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62"/>
        <w:gridCol w:w="2306"/>
        <w:gridCol w:w="1659"/>
        <w:gridCol w:w="2209"/>
        <w:gridCol w:w="1752"/>
      </w:tblGrid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Т, лет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nT, лет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δ%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0,24085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90,800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1,98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0,61521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88,590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89,000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0,03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1,88089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88,401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0,71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29,4577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88,373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0,74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89,033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0,79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4,605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82,893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11,862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83,035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0,06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84,015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84,015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1,24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164,78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82,394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0,71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247,69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82,565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82,980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0,52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Однако, кроме описанных в статье случаев проявления «золотого сечения» в Солнечной системе, нам удалось выявить ещё ряд новых интересных примеров такого же рода. В частности, мы обнаружили, что величины, обратные эксцентриситетам планетных орбит также близки к числам Люка и Фибоначчи (см. табл.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2, где e – эксцентриситет орбиты, а n – число Люка или Фибоначчи).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Таблица 2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0"/>
        <w:gridCol w:w="2327"/>
        <w:gridCol w:w="1674"/>
        <w:gridCol w:w="2140"/>
        <w:gridCol w:w="1767"/>
      </w:tblGrid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1/e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1/ne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δ%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4,021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1,0054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0,44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4,863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0,9726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2,91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10,711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0,9737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2,80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13,157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1,0121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1,10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17,946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0,9970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0,40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20,652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0,9834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1,79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21,195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1,0093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0,82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59,772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1,0867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8,56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116,686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0,9486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5,52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147,058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1,0212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2,01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2,63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Так как орбиты планет эллиптичны и постепенно прецессируют, то каждая из них занимает кольцевую область между двумя круговыми орбитами с радиусами: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6"/>
        <w:gridCol w:w="2854"/>
      </w:tblGrid>
      <w:tr w:rsidR="00970E85" w:rsidRPr="00970E85">
        <w:trPr>
          <w:tblCellSpacing w:w="0" w:type="dxa"/>
        </w:trPr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r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  <w:r w:rsidRPr="00970E85">
              <w:rPr>
                <w:color w:val="003366"/>
                <w:sz w:val="24"/>
                <w:szCs w:val="24"/>
              </w:rPr>
              <w:t xml:space="preserve"> = (1 – e)a</w:t>
            </w:r>
          </w:p>
        </w:tc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(1)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r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  <w:r w:rsidRPr="00970E85">
              <w:rPr>
                <w:color w:val="003366"/>
                <w:sz w:val="24"/>
                <w:szCs w:val="24"/>
              </w:rPr>
              <w:t xml:space="preserve"> = (1 + e)a</w:t>
            </w:r>
          </w:p>
        </w:tc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(2)</w:t>
            </w:r>
          </w:p>
        </w:tc>
      </w:tr>
    </w:tbl>
    <w:p w:rsid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где r</w:t>
      </w:r>
      <w:r w:rsidRPr="00970E85">
        <w:rPr>
          <w:color w:val="003366"/>
          <w:sz w:val="24"/>
          <w:szCs w:val="24"/>
          <w:vertAlign w:val="subscript"/>
        </w:rPr>
        <w:t>π</w:t>
      </w:r>
      <w:r w:rsidRPr="00970E85">
        <w:rPr>
          <w:color w:val="003366"/>
          <w:sz w:val="24"/>
          <w:szCs w:val="24"/>
        </w:rPr>
        <w:t xml:space="preserve"> – радиус орбиты в перигелии,</w:t>
      </w:r>
    </w:p>
    <w:p w:rsid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r</w:t>
      </w:r>
      <w:r w:rsidRPr="00970E85">
        <w:rPr>
          <w:color w:val="003366"/>
          <w:sz w:val="24"/>
          <w:szCs w:val="24"/>
          <w:vertAlign w:val="subscript"/>
        </w:rPr>
        <w:t>α</w:t>
      </w:r>
      <w:r w:rsidRPr="00970E85">
        <w:rPr>
          <w:color w:val="003366"/>
          <w:sz w:val="24"/>
          <w:szCs w:val="24"/>
        </w:rPr>
        <w:t xml:space="preserve"> – радиус орбиты в афелии,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a – большая полуось орбиты.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Этим круговым орбитам соответствуют свои периоды, а интервал периодов может быть найден по следующей формуле: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7"/>
        <w:gridCol w:w="1593"/>
      </w:tblGrid>
      <w:tr w:rsidR="00970E85" w:rsidRPr="00970E85">
        <w:trPr>
          <w:tblCellSpacing w:w="0" w:type="dxa"/>
        </w:trPr>
        <w:tc>
          <w:tcPr>
            <w:tcW w:w="0" w:type="auto"/>
            <w:vAlign w:val="center"/>
          </w:tcPr>
          <w:p w:rsidR="00970E85" w:rsidRPr="00970E85" w:rsidRDefault="00EA5AA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0.5pt;height:46.5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(3)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где T – период обращения планеты, а ΔT – будет шириной орбиты, выраженной в терминах периодов. Назовем эту величину «периодом ширины орбиты». При этом оказалось, что «период ширины орбиты» связан с перодом обращения планеты, расположенной через одну орбиту ближе к Солнцу, следующим соотношением: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7"/>
        <w:gridCol w:w="2753"/>
      </w:tblGrid>
      <w:tr w:rsidR="00970E85" w:rsidRPr="00970E85">
        <w:trPr>
          <w:tblCellSpacing w:w="0" w:type="dxa"/>
        </w:trPr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kΔT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</w:t>
            </w:r>
            <w:r w:rsidRPr="00970E85">
              <w:rPr>
                <w:color w:val="003366"/>
                <w:sz w:val="24"/>
                <w:szCs w:val="24"/>
              </w:rPr>
              <w:t xml:space="preserve"> = 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n–2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,</w:t>
            </w:r>
          </w:p>
        </w:tc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(4)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где k – целое число, чаще всего, близкое к единице, т.е. имеет место своеобразный резонанс, названный нами «кольцевым резонансом» (см. табл.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3).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Таблица 3а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7"/>
        <w:gridCol w:w="2680"/>
        <w:gridCol w:w="1856"/>
        <w:gridCol w:w="3045"/>
      </w:tblGrid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ΔT, лет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kΔT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</w:t>
            </w:r>
            <w:r w:rsidRPr="00970E85">
              <w:rPr>
                <w:color w:val="003366"/>
                <w:sz w:val="24"/>
                <w:szCs w:val="24"/>
              </w:rPr>
              <w:t>, лет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0,0125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0,0627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0,0501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0,2509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0,5266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0,5266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1,0497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1,0497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1,7228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1,7228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4,9235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4,9235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11,890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11,890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4,237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29,659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184,28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92,140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Таблица 3b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10"/>
        <w:gridCol w:w="1378"/>
        <w:gridCol w:w="1830"/>
        <w:gridCol w:w="1138"/>
        <w:gridCol w:w="1264"/>
        <w:gridCol w:w="1830"/>
        <w:gridCol w:w="1138"/>
      </w:tblGrid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Teло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T, лет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kΔT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/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kΔT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n–2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δ%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kΔT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/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kΔT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n–2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δ%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0,0694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0,903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0,61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0,2408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1,041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24/5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0,07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0,6152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0,855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7/6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1,049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20/21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0,02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1,8808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8,4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12/11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0,02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4,6052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1,069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7,6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14/15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0,16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11,862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1/1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29,457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7/1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0,73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84,015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1,096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5/11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0,24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0,24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Как видно из таблицы, при грубой подборке коэфициента k он чаще всего принимает значение 1 и даёт отклонение от резонансности, равное 7,2%, а при более тонкой подборке коэфициента, когда он не целочислен, но равен отношению небольших чисел, это отклонение имеет величину только 0,24%. Учитывая, что на самом деле мгновенный период обращения планеты меняется в широких пределах, можно считать, что резонанс всегда соблюдается даже при грубой подборке k. Как оказалось, экваториальный период вращения Солнца и все «периоды ширины орбит» планет земной группы имеют между собою общий резонанс. Для планет, внешних по отношению к Земной орбите также имеет место общий для них резонанс. Причём средние отклонения от резонансности для обеих групп планет не превышают 0,55%. Период общего резонанса для внешних планет превосходит аналогичный период для земной группы планет в 28 раз (см. табл.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4).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Таблица 4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5"/>
        <w:gridCol w:w="2182"/>
        <w:gridCol w:w="1517"/>
        <w:gridCol w:w="2372"/>
        <w:gridCol w:w="1802"/>
      </w:tblGrid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ΔT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/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δ%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0,0125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0,00627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0,19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0,0501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0,00627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0.16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0,0694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0,00631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0,86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0,1483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0,00618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1,35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0,5266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0,00627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0,00626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0,53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0,5266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0,17553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0,30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1,0497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0,17495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0,02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1,7228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0,17228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1,58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4,2370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0,17654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0,88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4,9235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0,17584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0,48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11,890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0,17485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0,17500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0,55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Если рассмотреть ширину орбиты в терминах частот обращений планет, то мы получим «частоту ширины орбиты». Как выяснилось, эти величины, нормированные на «частоту ширины орбиты» Нептуна, образуют числовые ряды, близкие к числам Люка и Фибоначчи (см. табл.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5) со средним отклонением от резонансности меньше 3%.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Таблица 5</w:t>
      </w:r>
    </w:p>
    <w:tbl>
      <w:tblPr>
        <w:tblW w:w="5000" w:type="pct"/>
        <w:tblCellSpacing w:w="0" w:type="dxa"/>
        <w:tblInd w:w="-4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36"/>
        <w:gridCol w:w="1919"/>
        <w:gridCol w:w="1832"/>
        <w:gridCol w:w="1278"/>
        <w:gridCol w:w="1974"/>
        <w:gridCol w:w="1349"/>
      </w:tblGrid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Δν, год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–1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Δν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/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Δν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Δν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/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nΔν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δ%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0,000156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1,62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0,001690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10,8346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0,98496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3,17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0,003305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21,1871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1,00890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0,72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0,057000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36,5384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1,07465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5,75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0,012286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78,7564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1,03626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1,97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0,033516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212,564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1,06816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5,11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0,050200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321,794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0,99936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1,68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0,049938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320,051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0,99394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2,23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0,150818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966,782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987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0,97951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3,69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1,01619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2,88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Мы рассматривали до сих пор интервалы периодов и частот, определяемых через радиусы круговых орбит, ограничивающих эллипсы орбит. Однако, интересно рассмотреть разности мгновенных периодов обращения планет в афелиях и перигелиях орбит т.е. интервал, в пределах которого меняется мгновенный период при движении планеты по орбите. Назовём этот интервал «девиацией периода» Расчёт её будем вести по формуле: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8"/>
        <w:gridCol w:w="2142"/>
      </w:tblGrid>
      <w:tr w:rsidR="00970E85" w:rsidRPr="00970E85">
        <w:trPr>
          <w:tblCellSpacing w:w="0" w:type="dxa"/>
        </w:trPr>
        <w:tc>
          <w:tcPr>
            <w:tcW w:w="0" w:type="auto"/>
            <w:vAlign w:val="center"/>
          </w:tcPr>
          <w:p w:rsidR="00970E85" w:rsidRPr="00970E85" w:rsidRDefault="00EA5AA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pict>
                <v:shape id="_x0000_i1026" type="#_x0000_t75" alt="" style="width:101.25pt;height:36pt">
                  <v:imagedata r:id="rId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(5)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При этом оказалось, что наблюдается резонанс между «девиацией периода» планеты и периодом соседней планеты, расположенной ближе к Солнцу:</w:t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5"/>
        <w:gridCol w:w="2635"/>
      </w:tblGrid>
      <w:tr w:rsidR="00970E85" w:rsidRPr="00970E85">
        <w:trPr>
          <w:tblCellSpacing w:w="0" w:type="dxa"/>
        </w:trPr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kΔT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 xml:space="preserve"> *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</w:t>
            </w:r>
            <w:r w:rsidRPr="00970E85">
              <w:rPr>
                <w:color w:val="003366"/>
                <w:sz w:val="24"/>
                <w:szCs w:val="24"/>
              </w:rPr>
              <w:t xml:space="preserve"> = T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 xml:space="preserve"> *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n–1</w:t>
            </w:r>
          </w:p>
        </w:tc>
        <w:tc>
          <w:tcPr>
            <w:tcW w:w="0" w:type="auto"/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(6)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См. табл. 6, где значки π, 0, α – определяют значения мгновенных периодов в перигелии, на среднем расстоянии и в афелии. Мы видим, что чаще всего наблюдается k = 2. Среднее отклонение от резонанса равно 1,75%.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Таблица 6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10"/>
        <w:gridCol w:w="1498"/>
        <w:gridCol w:w="1144"/>
        <w:gridCol w:w="1498"/>
        <w:gridCol w:w="1210"/>
        <w:gridCol w:w="1498"/>
        <w:gridCol w:w="1498"/>
        <w:gridCol w:w="1138"/>
      </w:tblGrid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 ΔT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T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n–1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kΔT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/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ΔT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n–1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δ%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0,2024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0,0674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Сл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0,0694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0,97099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2,58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0,0167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0,1505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Ме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0,1553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0,96968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2,72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0,0669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0,6023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0,6068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0,99253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0,35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0,5442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1,0884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1,0338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1,05279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5,69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1,4040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1,8720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1,8808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0,99528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2,3000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4,6000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4,6052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0,99888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0,28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6,5757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13,1514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13,0539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1,00746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1,14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15,8730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31,7460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32,8829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0,96542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3,17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5,6494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84,7412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84,0152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1,00864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1,26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254,336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7/11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161,850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Н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161,981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0,99919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0,31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0,99608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1,75</w:t>
            </w:r>
          </w:p>
        </w:tc>
      </w:tr>
    </w:tbl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На самом деле, учитывая, что изменение мгновенного периода происходит в широких пределах, мы можем считать, что резонанс всегда соблюдается гораздо точнее.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Наконец, рассмотрим соотношения экстремальных значений мгновенных периодов на соседних орбитах в ближайших апсидах. Например, отношение мгновенного периода в афелии орбиты к такому же периоду, но уже в перигелии последующей орбиты, расположенной дальше от Солнца (см. табл.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7, где T</w:t>
      </w:r>
      <w:r w:rsidRPr="00970E85">
        <w:rPr>
          <w:color w:val="003366"/>
          <w:sz w:val="24"/>
          <w:szCs w:val="24"/>
          <w:vertAlign w:val="subscript"/>
        </w:rPr>
        <w:t>1</w:t>
      </w:r>
      <w:r w:rsidRPr="00970E85">
        <w:rPr>
          <w:color w:val="003366"/>
          <w:sz w:val="24"/>
          <w:szCs w:val="24"/>
          <w:vertAlign w:val="superscript"/>
        </w:rPr>
        <w:t>*</w:t>
      </w:r>
      <w:r w:rsidRPr="00970E85">
        <w:rPr>
          <w:color w:val="003366"/>
          <w:sz w:val="24"/>
          <w:szCs w:val="24"/>
        </w:rPr>
        <w:t xml:space="preserve"> – мгновенный период в афелии орбиты, а T</w:t>
      </w:r>
      <w:r w:rsidRPr="00970E85">
        <w:rPr>
          <w:color w:val="003366"/>
          <w:sz w:val="24"/>
          <w:szCs w:val="24"/>
          <w:vertAlign w:val="subscript"/>
        </w:rPr>
        <w:t>2</w:t>
      </w:r>
      <w:r w:rsidRPr="00970E85">
        <w:rPr>
          <w:color w:val="003366"/>
          <w:sz w:val="24"/>
          <w:szCs w:val="24"/>
          <w:vertAlign w:val="superscript"/>
        </w:rPr>
        <w:t>*</w:t>
      </w:r>
      <w:r w:rsidRPr="00970E85">
        <w:rPr>
          <w:color w:val="003366"/>
          <w:sz w:val="24"/>
          <w:szCs w:val="24"/>
        </w:rPr>
        <w:t xml:space="preserve"> – мгновенный период в перигелии последующей). Исключение составляют только Меркурий,где вместо перигелийных и афелийных периодов взяты средние периоды и Венера, где вместо афелийного периода взят средний период. Резонансный коэфициент равен отношению небольших чисел, на 85% состоящих из чисел Люка (2, 3, 4, 7, 11).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Анализ таблицы показывает, что эти соотношения близки к резонансным со средним отклонением от резонансности 0,53%.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Таблица 7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10"/>
        <w:gridCol w:w="1498"/>
        <w:gridCol w:w="1210"/>
        <w:gridCol w:w="1498"/>
        <w:gridCol w:w="1144"/>
        <w:gridCol w:w="1498"/>
        <w:gridCol w:w="1618"/>
        <w:gridCol w:w="1138"/>
      </w:tblGrid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2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Тело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1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kT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1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2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/</w:t>
            </w:r>
            <w:r>
              <w:rPr>
                <w:color w:val="003366"/>
                <w:sz w:val="24"/>
                <w:szCs w:val="24"/>
              </w:rPr>
              <w:t xml:space="preserve"> </w:t>
            </w:r>
            <w:r w:rsidRPr="00970E85">
              <w:rPr>
                <w:color w:val="003366"/>
                <w:sz w:val="24"/>
                <w:szCs w:val="24"/>
              </w:rPr>
              <w:t>kT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1</w:t>
            </w:r>
            <w:r w:rsidRPr="00970E85">
              <w:rPr>
                <w:color w:val="003366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δ%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Ме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0,2408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Сл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0,0694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0,2432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0,990304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1,03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0,6068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Ме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0,2408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0,6021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1,007897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0,73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0,9669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В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0,6152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11/7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0,9667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1,000202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0,03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1,6162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З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1,0338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11/7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1,6246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0,994791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0,57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3,9432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Ма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2,1604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11/6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3,9608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0,995554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10,7539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Ц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5,3472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2/1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10,6944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1,005564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Ст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26,3072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Ю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13,0539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2/1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26,1079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1,007633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0,70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76,3596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Ст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32,8829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76,7268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0,995213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0,53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Н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161,981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У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92,2326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7/4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161,407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1,003557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0,30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П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144,369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Н</w:t>
            </w:r>
            <w:r w:rsidRPr="00970E85">
              <w:rPr>
                <w:color w:val="003366"/>
                <w:sz w:val="24"/>
                <w:szCs w:val="24"/>
                <w:vertAlign w:val="subscript"/>
              </w:rPr>
              <w:t>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167,630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6/7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143,683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1,004770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0,42</w:t>
            </w:r>
          </w:p>
        </w:tc>
      </w:tr>
      <w:tr w:rsidR="00970E85" w:rsidRPr="00970E85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1,000548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970E85" w:rsidRPr="00970E85" w:rsidRDefault="00970E85" w:rsidP="00970E85">
            <w:pPr>
              <w:spacing w:before="120"/>
              <w:ind w:firstLine="567"/>
              <w:jc w:val="both"/>
              <w:rPr>
                <w:color w:val="003366"/>
                <w:sz w:val="24"/>
                <w:szCs w:val="24"/>
              </w:rPr>
            </w:pPr>
            <w:r w:rsidRPr="00970E85">
              <w:rPr>
                <w:color w:val="003366"/>
                <w:sz w:val="24"/>
                <w:szCs w:val="24"/>
              </w:rPr>
              <w:t>0,53</w:t>
            </w:r>
          </w:p>
        </w:tc>
      </w:tr>
    </w:tbl>
    <w:p w:rsidR="00970E85" w:rsidRPr="00970E85" w:rsidRDefault="00970E85" w:rsidP="00970E85">
      <w:pPr>
        <w:spacing w:before="120"/>
        <w:jc w:val="center"/>
        <w:rPr>
          <w:b/>
          <w:bCs/>
          <w:color w:val="003366"/>
          <w:sz w:val="28"/>
          <w:szCs w:val="28"/>
        </w:rPr>
      </w:pPr>
      <w:r w:rsidRPr="00970E85">
        <w:rPr>
          <w:b/>
          <w:bCs/>
          <w:color w:val="003366"/>
          <w:sz w:val="28"/>
          <w:szCs w:val="28"/>
        </w:rPr>
        <w:t>Выводы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 xml:space="preserve">Величины, обратные эксцентриситетам орбит планет образуют числа, близкие к числам Люка и Фибоначчи. 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 xml:space="preserve">Периоды ширины орбитальных колец находятся в резонансе с периодами планет, расположенными через одну орбиту ближе к Солнцу. 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 xml:space="preserve">Частоты ширины орбитальных колец находятся в резонансе с частотами обращения планет, расположенных дальше от Солнца через одну орбиту. 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 xml:space="preserve">Периоды ширины орбитальных колец как земной группы планет, так и планет, внешних по отношению к земной орбите, образуют две группы тел с общими резонансами внутри группы. 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 xml:space="preserve">Частоты ширины орбитальных колец, нормированные на частоту ширины орбиты Нептуна, образуют числовой ряд близкий к числам Люка и Фибоначчи. 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 xml:space="preserve">Девиации периодов обращений планет находятся в резонансе с периодом обращения соседней планеты, расположенной ближе к Солнцу. </w:t>
      </w:r>
    </w:p>
    <w:p w:rsidR="00970E85" w:rsidRP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 xml:space="preserve">Экстремальные периоды в ближайших апсидах соседних планет находятся в резонансе, а числовые коэфициенты резонансов на 85% состоят из чисел Люка (2, 3, 4, 7, 11). </w:t>
      </w:r>
    </w:p>
    <w:p w:rsid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Имеют место ещё и другие резонансные соотношения для частот ширины орбит, девиаций частоты и экстремальных значений частот планетных орбит, но ввиду ограниченности объёма работы мы этих результатов вычислений не приводим.</w:t>
      </w:r>
      <w:r>
        <w:rPr>
          <w:color w:val="003366"/>
          <w:sz w:val="24"/>
          <w:szCs w:val="24"/>
        </w:rPr>
        <w:t xml:space="preserve"> </w:t>
      </w:r>
    </w:p>
    <w:p w:rsidR="00970E85" w:rsidRPr="00970E85" w:rsidRDefault="00970E85" w:rsidP="00970E85">
      <w:pPr>
        <w:spacing w:before="120"/>
        <w:jc w:val="center"/>
        <w:rPr>
          <w:b/>
          <w:bCs/>
          <w:color w:val="003366"/>
          <w:sz w:val="28"/>
          <w:szCs w:val="28"/>
        </w:rPr>
      </w:pPr>
      <w:r w:rsidRPr="00970E85">
        <w:rPr>
          <w:b/>
          <w:bCs/>
          <w:color w:val="003366"/>
          <w:sz w:val="28"/>
          <w:szCs w:val="28"/>
        </w:rPr>
        <w:t>Список литературы</w:t>
      </w:r>
    </w:p>
    <w:p w:rsidR="00970E85" w:rsidRDefault="00970E85" w:rsidP="00970E85">
      <w:pPr>
        <w:spacing w:before="120"/>
        <w:ind w:firstLine="567"/>
        <w:jc w:val="both"/>
        <w:rPr>
          <w:color w:val="003366"/>
          <w:sz w:val="24"/>
          <w:szCs w:val="24"/>
        </w:rPr>
      </w:pPr>
      <w:r w:rsidRPr="00970E85">
        <w:rPr>
          <w:color w:val="003366"/>
          <w:sz w:val="24"/>
          <w:szCs w:val="24"/>
        </w:rPr>
        <w:t>К.П.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Бутусов. «Золотое сечение в Солнечной системе». Проблемы исследования Вселенной, вып.</w:t>
      </w:r>
      <w:r>
        <w:rPr>
          <w:color w:val="003366"/>
          <w:sz w:val="24"/>
          <w:szCs w:val="24"/>
        </w:rPr>
        <w:t xml:space="preserve"> </w:t>
      </w:r>
      <w:r w:rsidRPr="00970E85">
        <w:rPr>
          <w:color w:val="003366"/>
          <w:sz w:val="24"/>
          <w:szCs w:val="24"/>
        </w:rPr>
        <w:t>7. М.-Л., 1978.</w:t>
      </w:r>
    </w:p>
    <w:p w:rsidR="00AC7F74" w:rsidRPr="00970E85" w:rsidRDefault="00AC7F74" w:rsidP="00970E85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AC7F74" w:rsidRPr="00970E85" w:rsidSect="00970E85">
      <w:pgSz w:w="11906" w:h="16838"/>
      <w:pgMar w:top="1134" w:right="1134" w:bottom="1134" w:left="1134" w:header="709" w:footer="709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823F8"/>
    <w:multiLevelType w:val="multilevel"/>
    <w:tmpl w:val="6458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78"/>
  <w:drawingGridVerticalSpacing w:val="40"/>
  <w:displayHorizontalDrawingGridEvery w:val="0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F74"/>
    <w:rsid w:val="000A2DC4"/>
    <w:rsid w:val="00970E85"/>
    <w:rsid w:val="00AC7F74"/>
    <w:rsid w:val="00EA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B406ADA-2D2C-46EE-A827-03E8CDBA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AC7F74"/>
    <w:pPr>
      <w:spacing w:before="60" w:after="60"/>
      <w:ind w:left="12"/>
      <w:outlineLvl w:val="0"/>
    </w:pPr>
    <w:rPr>
      <w:color w:val="006666"/>
      <w:kern w:val="36"/>
      <w:sz w:val="35"/>
      <w:szCs w:val="35"/>
    </w:rPr>
  </w:style>
  <w:style w:type="paragraph" w:styleId="2">
    <w:name w:val="heading 2"/>
    <w:basedOn w:val="a"/>
    <w:link w:val="20"/>
    <w:uiPriority w:val="99"/>
    <w:qFormat/>
    <w:rsid w:val="00AC7F74"/>
    <w:pPr>
      <w:pBdr>
        <w:bottom w:val="single" w:sz="4" w:space="0" w:color="6699FF"/>
      </w:pBdr>
      <w:spacing w:before="360" w:after="60"/>
      <w:ind w:left="12"/>
      <w:outlineLvl w:val="1"/>
    </w:pPr>
    <w:rPr>
      <w:color w:val="006666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AC7F74"/>
    <w:pPr>
      <w:spacing w:before="360" w:after="120"/>
      <w:ind w:left="24"/>
      <w:outlineLvl w:val="2"/>
    </w:pPr>
    <w:rPr>
      <w:color w:val="006666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70E85"/>
    <w:pPr>
      <w:spacing w:before="360" w:after="120"/>
      <w:ind w:left="24"/>
      <w:outlineLvl w:val="3"/>
    </w:pPr>
    <w:rPr>
      <w:b/>
      <w:bCs/>
      <w:color w:val="0066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Hyperlink"/>
    <w:basedOn w:val="a0"/>
    <w:uiPriority w:val="99"/>
    <w:rsid w:val="00AC7F74"/>
    <w:rPr>
      <w:color w:val="auto"/>
      <w:u w:val="single"/>
    </w:rPr>
  </w:style>
  <w:style w:type="paragraph" w:styleId="a4">
    <w:name w:val="Normal (Web)"/>
    <w:basedOn w:val="a"/>
    <w:uiPriority w:val="99"/>
    <w:rsid w:val="00AC7F74"/>
    <w:pPr>
      <w:spacing w:before="120"/>
      <w:ind w:left="36"/>
    </w:pPr>
    <w:rPr>
      <w:color w:val="003366"/>
      <w:sz w:val="24"/>
      <w:szCs w:val="24"/>
    </w:rPr>
  </w:style>
  <w:style w:type="paragraph" w:customStyle="1" w:styleId="at">
    <w:name w:val="at"/>
    <w:basedOn w:val="a"/>
    <w:uiPriority w:val="99"/>
    <w:rsid w:val="00AC7F74"/>
    <w:pPr>
      <w:spacing w:before="120" w:after="480"/>
      <w:ind w:left="36"/>
    </w:pPr>
    <w:rPr>
      <w:rFonts w:ascii="Verdana" w:hAnsi="Verdana" w:cs="Verdana"/>
      <w:b/>
      <w:bCs/>
      <w:color w:val="003366"/>
      <w:sz w:val="18"/>
      <w:szCs w:val="18"/>
    </w:rPr>
  </w:style>
  <w:style w:type="paragraph" w:customStyle="1" w:styleId="sm">
    <w:name w:val="sm"/>
    <w:basedOn w:val="a"/>
    <w:uiPriority w:val="99"/>
    <w:rsid w:val="00AC7F74"/>
    <w:pPr>
      <w:spacing w:before="96" w:line="316" w:lineRule="auto"/>
      <w:ind w:left="36"/>
    </w:pPr>
    <w:rPr>
      <w:rFonts w:ascii="Verdana" w:hAnsi="Verdana" w:cs="Verdana"/>
      <w:color w:val="003366"/>
      <w:sz w:val="18"/>
      <w:szCs w:val="18"/>
    </w:rPr>
  </w:style>
  <w:style w:type="character" w:styleId="a5">
    <w:name w:val="FollowedHyperlink"/>
    <w:basedOn w:val="a0"/>
    <w:uiPriority w:val="99"/>
    <w:rsid w:val="00970E85"/>
    <w:rPr>
      <w:color w:val="auto"/>
      <w:u w:val="single"/>
    </w:rPr>
  </w:style>
  <w:style w:type="paragraph" w:customStyle="1" w:styleId="data">
    <w:name w:val="data"/>
    <w:basedOn w:val="a"/>
    <w:uiPriority w:val="99"/>
    <w:rsid w:val="00970E85"/>
    <w:pPr>
      <w:spacing w:before="240"/>
      <w:ind w:left="36"/>
    </w:pPr>
    <w:rPr>
      <w:rFonts w:ascii="Verdana" w:hAnsi="Verdana" w:cs="Verdana"/>
      <w:b/>
      <w:bCs/>
      <w:color w:val="003366"/>
      <w:sz w:val="18"/>
      <w:szCs w:val="18"/>
    </w:rPr>
  </w:style>
  <w:style w:type="paragraph" w:customStyle="1" w:styleId="tab">
    <w:name w:val="tab"/>
    <w:basedOn w:val="a"/>
    <w:uiPriority w:val="99"/>
    <w:rsid w:val="00970E85"/>
    <w:pPr>
      <w:spacing w:before="120" w:after="144"/>
      <w:ind w:left="36"/>
      <w:jc w:val="center"/>
    </w:pPr>
    <w:rPr>
      <w:rFonts w:ascii="Verdana" w:hAnsi="Verdana" w:cs="Verdana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7809</Characters>
  <Application>Microsoft Office Word</Application>
  <DocSecurity>0</DocSecurity>
  <Lines>65</Lines>
  <Paragraphs>18</Paragraphs>
  <ScaleCrop>false</ScaleCrop>
  <Company>PERSONAL COMPUTERS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Кольцевой орбитальный резонанс</dc:title>
  <dc:subject/>
  <dc:creator>USER</dc:creator>
  <cp:keywords/>
  <dc:description/>
  <cp:lastModifiedBy>admin</cp:lastModifiedBy>
  <cp:revision>2</cp:revision>
  <dcterms:created xsi:type="dcterms:W3CDTF">2014-05-20T22:17:00Z</dcterms:created>
  <dcterms:modified xsi:type="dcterms:W3CDTF">2014-05-20T22:17:00Z</dcterms:modified>
</cp:coreProperties>
</file>