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CB" w:rsidRDefault="00EE43CB">
      <w:pPr>
        <w:widowControl w:val="0"/>
        <w:spacing w:before="120"/>
        <w:jc w:val="center"/>
        <w:rPr>
          <w:b/>
          <w:bCs/>
          <w:color w:val="000000"/>
          <w:sz w:val="32"/>
          <w:szCs w:val="32"/>
        </w:rPr>
      </w:pPr>
      <w:r>
        <w:rPr>
          <w:b/>
          <w:bCs/>
          <w:color w:val="000000"/>
          <w:sz w:val="32"/>
          <w:szCs w:val="32"/>
        </w:rPr>
        <w:t xml:space="preserve">Коммуникативно-деятельностные теории языка </w:t>
      </w:r>
    </w:p>
    <w:p w:rsidR="00EE43CB" w:rsidRDefault="00EE43CB">
      <w:pPr>
        <w:widowControl w:val="0"/>
        <w:spacing w:before="120"/>
        <w:ind w:firstLine="567"/>
        <w:jc w:val="both"/>
        <w:rPr>
          <w:color w:val="000000"/>
          <w:sz w:val="24"/>
          <w:szCs w:val="24"/>
        </w:rPr>
      </w:pPr>
      <w:r>
        <w:rPr>
          <w:color w:val="000000"/>
          <w:sz w:val="24"/>
          <w:szCs w:val="24"/>
        </w:rPr>
        <w:t xml:space="preserve">Теория речевых актов (теория речевых действий) возникла в русле философии повседневного языка в развитие идей позднего Людвига Витгенштейна и являющаяся произведением Джона Л. Остина (1962) и Джона Р. Сёрла (1969, 1975 и др.). В этой теории даётся систематическое представление того, что мы делаем, когда мы говорим (по Остину, how to do things with words). Развивается эта теория сперва в философии языка и прагматически ориентированной общей теории деятельности, а затем и в ряде направлений лингвистики. </w:t>
      </w:r>
    </w:p>
    <w:p w:rsidR="00EE43CB" w:rsidRDefault="00EE43CB">
      <w:pPr>
        <w:widowControl w:val="0"/>
        <w:spacing w:before="120"/>
        <w:ind w:firstLine="567"/>
        <w:jc w:val="both"/>
        <w:rPr>
          <w:color w:val="000000"/>
          <w:sz w:val="24"/>
          <w:szCs w:val="24"/>
        </w:rPr>
      </w:pPr>
      <w:r>
        <w:rPr>
          <w:color w:val="000000"/>
          <w:sz w:val="24"/>
          <w:szCs w:val="24"/>
        </w:rPr>
        <w:t xml:space="preserve">Теория речевых актов постулирует в качестве основных единиц человеческой коммуникации не отдельные слова или даже предложения, а многоплановые по своей структуре определённые речевые действия (локутивные акты), выступающие в качестве носителей определённых коммуникативных заданий (т.е. в функции иллокутивных актов) и направленные на достижение определённых эффектов (т.е. в функции перлокутивных актов). Дж. Сёрл вводит ещё один план (пропозициональные акты, подразделяющиеся на акты референции, т.е отнесения к миру, и акты предикации, т.е. высказывания о мире). Основное внимание уделяется структуре иллокутивных актов (т.е. речевых действий типа утверждений, спрашивания, отдачи приказов, описаний, объяснений, извинений, принесения благодарности, поздравления и т.д.) и их классификации. Эталоном стала следующая классификация Дж. Сёрла: а) ассертивы (репрезентативы), сообщающие о положении дел и предполагающие истинностную оценку; б) директивы, побуждающие адресатов к определённым действиям; в) комиссивы, сообщающие о взятых на себя говорящим обязательствах; г) экспрессивы, выражающие определённую психическую позицию по отношению к какому-либо положению дел; д) декларативы, устанавливающие новое положение дел. Различаются прямые (первично перформативные) и непрямые (косвенные) речевые акты. Предметом описания становятся языковые средства, служащие выявлению иллокутивных целей и функций (глаголы, в особенности перформативные, выражающие речевые намерения при условии их употребления в 1-м лице настоящего времени изъявительного наклонения и т.д.; наречия, частицы, порядок слов, интонация), а также условия коммуникации. Анализируются условия успешной (удачной) реализации соответствующих иллокутивных актов (правила пропозиционального содержания, подготовительные, искренности, существенные). Разрабатывается иллокутивная логика (исчисление иллокутивных актов, предпринятое в работах Дж. Сёрла и Дэниэла Вандервекена. </w:t>
      </w:r>
    </w:p>
    <w:p w:rsidR="00EE43CB" w:rsidRDefault="00EE43CB">
      <w:pPr>
        <w:widowControl w:val="0"/>
        <w:spacing w:before="120"/>
        <w:ind w:firstLine="567"/>
        <w:jc w:val="both"/>
        <w:rPr>
          <w:color w:val="000000"/>
          <w:sz w:val="24"/>
          <w:szCs w:val="24"/>
        </w:rPr>
      </w:pPr>
      <w:r>
        <w:rPr>
          <w:color w:val="000000"/>
          <w:sz w:val="24"/>
          <w:szCs w:val="24"/>
        </w:rPr>
        <w:t xml:space="preserve">В теории речевых актов сегодня отмечается наличие двух течений: семантически ориентированного и прагматически ориентированного. Исследования структуры речевых актов предпринимаются и с позиций генеративной семантики (Джерролд М. Сейдок). </w:t>
      </w:r>
    </w:p>
    <w:p w:rsidR="00EE43CB" w:rsidRDefault="00EE43CB">
      <w:pPr>
        <w:widowControl w:val="0"/>
        <w:spacing w:before="120"/>
        <w:ind w:firstLine="567"/>
        <w:jc w:val="both"/>
        <w:rPr>
          <w:color w:val="000000"/>
          <w:sz w:val="24"/>
          <w:szCs w:val="24"/>
        </w:rPr>
      </w:pPr>
      <w:r>
        <w:rPr>
          <w:color w:val="000000"/>
          <w:sz w:val="24"/>
          <w:szCs w:val="24"/>
        </w:rPr>
        <w:t xml:space="preserve">Появились многочисленные модификации в области таксономии речевых актов и в их трактовке (Д. Вундерлих, Т. Баллмер и В. Бренненштуль, Д. Вандервекен, Дж. Версурен, Манфред Бирвиш, Жиль Фоконье, Франсуа Реканати, Ференц Кифер, Вольфганг Мотч, Зено Вендлер, Анна Вежбицка, Георгий Георгиевич Почепцов, В.В. Богданов, Ю.Д. Апресян, М.В. Никитин). Исследутся перлокуции (Стивен Дэвис). Появилось большое число работ, посвящённых описанию на материале различных языков отдельных типов и видов речевых актов, их функционирования в монологическом и диалогическом дискурсе, языковых и неязыковых средств реализации иллокуций, в том числе в научной семантико-прагматической школе И.П. Сусова (Калининский / Тверской университет: А.А. Романов, Л.П. Рыжова, С.А. Сухих, Н.А. Комина, Р.В. Шиленко, А.С. Недобух, А.А. Пушкин, О.И. Герасимова, И.Н. Аксёнова, Г.П. Пальчун, С.В. Крестинский, Т.А. Жалагина, Ю.Н. Варзонин, О.Д. Белецкая, Н.К. Кънчева), в школе В.В. Богданова и в школе Л.П. Чахоян (Ленинградский / Петербургский университет), в школе Г.Г. Почепцова (Киев), в школе В.В. Лазарева (Пятигорск). </w:t>
      </w:r>
    </w:p>
    <w:p w:rsidR="00EE43CB" w:rsidRDefault="00EE43CB">
      <w:pPr>
        <w:widowControl w:val="0"/>
        <w:spacing w:before="120"/>
        <w:ind w:firstLine="567"/>
        <w:jc w:val="both"/>
        <w:rPr>
          <w:color w:val="000000"/>
          <w:sz w:val="24"/>
          <w:szCs w:val="24"/>
        </w:rPr>
      </w:pPr>
      <w:r>
        <w:rPr>
          <w:color w:val="000000"/>
          <w:sz w:val="24"/>
          <w:szCs w:val="24"/>
        </w:rPr>
        <w:t xml:space="preserve">Теория речевых актов оказала влияние на разработку проблем коммуникативной грамматики, анализа дискурса, конверсационного анализа (особенно его немецкой разновидности - анализа разговора). В настоящее время теория речевых актов включается в широко понимаемую лингвистическую прагматику. Отмечается проникновение её идей в работы по искусственному интеллекту. </w:t>
      </w:r>
    </w:p>
    <w:p w:rsidR="00EE43CB" w:rsidRDefault="00EE43CB">
      <w:pPr>
        <w:widowControl w:val="0"/>
        <w:spacing w:before="120"/>
        <w:ind w:firstLine="567"/>
        <w:jc w:val="both"/>
        <w:rPr>
          <w:color w:val="000000"/>
          <w:sz w:val="24"/>
          <w:szCs w:val="24"/>
        </w:rPr>
      </w:pPr>
      <w:r>
        <w:rPr>
          <w:color w:val="000000"/>
          <w:sz w:val="24"/>
          <w:szCs w:val="24"/>
        </w:rPr>
        <w:t xml:space="preserve">В самое последнне десятилетие широкое распространение в мировой лингвистике получил анализ дискурса как совокупность ряда течений в исследовании дискурса (обычно отличающихся своим динамизмом от статичной лингвистики текста). Термин дискурс используется прежде всего в англо-американской, а также во франкоязычной литературе. Дискурс может пониматься: а) как текст в различных его аспектах; б) как связная речь (З.З. Харрис); в) как актуализованный текст в отличие от текста как формальной грамматической структуры (Тён А. ван Дейк); г) как когерентный текст (И. Беллерт), д) как текст, сконструированный говорящим для слушателя (Джиллиан Браун, Джордж Юл); е) как результат процесса взаимодействия в социокультурном контексте (К.Л. Пайк); ж) как связная последовательность речевых актов, т.е. как образование, включённое в коммуникативно-прагматический контекст, в отличие от текста как последовательности предложений, отвлечённой от коммуникативно-прагматического контекста (И.П. Сусов, Н.Д. Арутюнова); з) как единство, реализующееся как в виде речи, т.е. в звуковой субстанции, так и в виде текста, т.е в письменной форме (В.В. Богданов); и) в философии - как рассуждение с целью обнаружения истины (Й. Хабермас). </w:t>
      </w:r>
    </w:p>
    <w:p w:rsidR="00EE43CB" w:rsidRDefault="00EE43CB">
      <w:pPr>
        <w:widowControl w:val="0"/>
        <w:spacing w:before="120"/>
        <w:ind w:firstLine="567"/>
        <w:jc w:val="both"/>
        <w:rPr>
          <w:color w:val="000000"/>
          <w:sz w:val="24"/>
          <w:szCs w:val="24"/>
        </w:rPr>
      </w:pPr>
      <w:r>
        <w:rPr>
          <w:color w:val="000000"/>
          <w:sz w:val="24"/>
          <w:szCs w:val="24"/>
        </w:rPr>
        <w:t xml:space="preserve">Анализ дискурса в начальных его вариантах был исследованием текстов (последовательностей предложений, трансфрастических структур) с позиций структурализма (а именно асемантического дистрибуционализма, как у З.З. Харриса), трансформационной грамматики, теории речевых актов, формальной логики в плане выполнения условий его правильной оформленности (когеренция и когезия) и следования дедуктивным правилам (теория речевых актов), т.е. анализ дискурса совпадал по существу со структуралистски ориентированными грамматикой текста, лингвистикой текста, семантикой дискурса в первоначальном европейском понимании (Вольфганг Дресслер, П.А.М. Сьюрен, Ольга Ивановна Москальская, Юрий Владимирович Попов и др.). </w:t>
      </w:r>
    </w:p>
    <w:p w:rsidR="00EE43CB" w:rsidRDefault="00EE43CB">
      <w:pPr>
        <w:widowControl w:val="0"/>
        <w:spacing w:before="120"/>
        <w:ind w:firstLine="567"/>
        <w:jc w:val="both"/>
        <w:rPr>
          <w:color w:val="000000"/>
          <w:sz w:val="24"/>
          <w:szCs w:val="24"/>
        </w:rPr>
      </w:pPr>
      <w:r>
        <w:rPr>
          <w:color w:val="000000"/>
          <w:sz w:val="24"/>
          <w:szCs w:val="24"/>
        </w:rPr>
        <w:t xml:space="preserve">Функционально-лингвистическое течение в анализе дискурса сложилось под влиянием коммуникативно-прагматических моделей языка и идей когнитивной науки. Оно обращает внимание на динамический характер дискурса как процесса конструирования говорящим / пишущим и процессов интерпретации слушающим / читающим (Дж. Браун и Дж. Юл, Т.А. ван Дейк). Здесь считается необходимым учёт при анализе прагматических факторов и контекста дискурса (референция, пресуппозиции, импликатуры, умозаключения), контекста ситуации, роли топика и темы, информационной структуры (данное - новое), когезии и когеренции, знания мира (фреймы, скрипты, сценарии, схемы, ментальные модели). Выполнены в подобном функциональном плане работы представителей Тверской семантико-прагматической школы В.И. Юганова, В.С. Григорьевой, И.Н. Аксёновой, Т.А. Жалагиной, М.Л. Макарова, А.А. Пушкина, Ю.Н. Варзонина, А.А. Богатырёва, Н.А.Коминой, О.Д. Белецкой, Н.К. Къневой, С.А. Аристова, А.С. Горлиной, М.В. Семёновой, а также докторские диссертации А.А. Романова, С.А. Сухих, М.Л. Макарова, Л.Г. Васильева. </w:t>
      </w:r>
    </w:p>
    <w:p w:rsidR="00EE43CB" w:rsidRDefault="00EE43CB">
      <w:pPr>
        <w:widowControl w:val="0"/>
        <w:spacing w:before="120"/>
        <w:ind w:firstLine="567"/>
        <w:jc w:val="both"/>
        <w:rPr>
          <w:color w:val="000000"/>
          <w:sz w:val="24"/>
          <w:szCs w:val="24"/>
        </w:rPr>
      </w:pPr>
      <w:r>
        <w:rPr>
          <w:color w:val="000000"/>
          <w:sz w:val="24"/>
          <w:szCs w:val="24"/>
        </w:rPr>
        <w:t xml:space="preserve">Этнографическое течение в анализе дискурса (стимулировали его появление Э. Гоффман как автор социологической теории взаимодействия, а также Ф. Эриксон, Дж. Шулц, А. Сикурел, Дж. Гамперц, Дж. Кук) выросло из этнографии речи и имеет целью исследовать правила конверсационных умозаключений (conversational inferences), которые представляют собой контекстно связанные процессы интерпретации, протекающие на основе правил контекстуализации. Контекст понимается не как уже данное, а как создаваемое участниками в ходе их вербальной интеракции, как множество процедур, предполагающих использование контекстуализационных намёков как указаний на фоновое знание. Различаются намёки просодического, проксемического, кинесического рода, указание на возможность их реализации при выборе определённого слова, выражения. кода или диалекта. Уделяется внимание мене кода в общении с разными участниками речевого события (мена громкости голоса в общении "врач - пациент" и "врач - присутствующие рядом его коллеги"). Учитывается способ организации фонового знания во взаимосвязанных рамках, ограничивающих интерпретацию контекстуализационных указаний, значение которых вытекает из взаимодействия с другими намёками на ту же или другие рамки. Мена ролей говорящего представляет собой один из примеров рамки (уменьшение громкости голоса или изменение положения тела говорящего по отношению к другим участникам как указание на передачу права речи). Взаимодействие намёков может создавать избыточность, обеспечивающую надёжность интерпретации в случае неулавливания всех намёков. Признаётся возможной опасность непонимания в межкультурной коммуникации в связи с социокультурной обусловленностью рамок. </w:t>
      </w:r>
    </w:p>
    <w:p w:rsidR="00EE43CB" w:rsidRDefault="00EE43CB">
      <w:pPr>
        <w:widowControl w:val="0"/>
        <w:spacing w:before="120"/>
        <w:ind w:firstLine="567"/>
        <w:jc w:val="both"/>
        <w:rPr>
          <w:color w:val="000000"/>
          <w:sz w:val="24"/>
          <w:szCs w:val="24"/>
        </w:rPr>
      </w:pPr>
      <w:r>
        <w:rPr>
          <w:color w:val="000000"/>
          <w:sz w:val="24"/>
          <w:szCs w:val="24"/>
        </w:rPr>
        <w:t xml:space="preserve">Исследуются стратегии дискурса (особенно в связи с правилами передачи роли говорящего, построением связанных пар как последовательностей взаимно соотнесённых речевых ходов, выбором определённых языковых и неязыковых средств). Анализом дискурса (и конверсационным анализом) заимствуется из социологической теории Э. Гоффмана понятие обмен / взаимообмен (exchange / interchange) для речевого "раунда" с двумя активными участниками, каждый из которых совершает ход (понятие из теории игр), т.е. производит выбор какого-либо действия из множества альтернативных действий, влекущий за собой благоприятные или неблагоприятные для участников ситуации взаимодействия последствия. Ход несоотносим с каким-либо речевым актом или речевым вкладом (при возможности их совпадения). Подчёркивается направленность коммуникативных действий участников взаимодействия на "инсценировку" и поддержание своего имиджа. Различаются ритуальные ограничения, предопределяющие необходимый для целей создания имиджа поддерживающий или корректирующий взаимообмен ходами. </w:t>
      </w:r>
    </w:p>
    <w:p w:rsidR="00EE43CB" w:rsidRDefault="00EE43CB">
      <w:pPr>
        <w:widowControl w:val="0"/>
        <w:spacing w:before="120"/>
        <w:ind w:firstLine="567"/>
        <w:jc w:val="both"/>
        <w:rPr>
          <w:color w:val="000000"/>
          <w:sz w:val="24"/>
          <w:szCs w:val="24"/>
        </w:rPr>
      </w:pPr>
      <w:r>
        <w:rPr>
          <w:color w:val="000000"/>
          <w:sz w:val="24"/>
          <w:szCs w:val="24"/>
        </w:rPr>
        <w:t xml:space="preserve">С 70-х гг. анализ дискурса становится междисциплинарной областью исследований, использующей достижения антропологии, этнографии речи, социолингвистики, психолингвистики, когнитивной науки, искусственного интеллекта, лингвистической философии (теории речевых актов), социологии языка и конверсационного анализа, риторики и стилистики, лингвистики текста. Аналогичное движение наблюдается и в европейской науке: от формальной лингвистики текста через семантику текста и прагматику текста к теории текста (текстоведению, текстологии; Зигфрид Й. Шмидт). </w:t>
      </w:r>
    </w:p>
    <w:p w:rsidR="00EE43CB" w:rsidRDefault="00EE43CB">
      <w:pPr>
        <w:widowControl w:val="0"/>
        <w:spacing w:before="120"/>
        <w:ind w:firstLine="567"/>
        <w:jc w:val="both"/>
        <w:rPr>
          <w:color w:val="000000"/>
          <w:sz w:val="24"/>
          <w:szCs w:val="24"/>
        </w:rPr>
      </w:pPr>
      <w:r>
        <w:rPr>
          <w:color w:val="000000"/>
          <w:sz w:val="24"/>
          <w:szCs w:val="24"/>
        </w:rPr>
        <w:t xml:space="preserve">Конверсационный анализ (conversational analysis) как широкое течение возникает в 70-х гг. в русле этнометодологии (выдвинутой в 1967 социологом Х. Гарфинкелом теории способов и приёмов организации членами социокультурной общности своей повседневной деятельности) и направлено на эмпирический анализ разговоров (Х. Закс, Э. Щеглов, Г. Джефферсон, Ч. Гудвин). </w:t>
      </w:r>
    </w:p>
    <w:p w:rsidR="00EE43CB" w:rsidRDefault="00EE43CB">
      <w:pPr>
        <w:widowControl w:val="0"/>
        <w:spacing w:before="120"/>
        <w:ind w:firstLine="567"/>
        <w:jc w:val="both"/>
        <w:rPr>
          <w:color w:val="000000"/>
          <w:sz w:val="24"/>
          <w:szCs w:val="24"/>
        </w:rPr>
      </w:pPr>
      <w:r>
        <w:rPr>
          <w:color w:val="000000"/>
          <w:sz w:val="24"/>
          <w:szCs w:val="24"/>
        </w:rPr>
        <w:t xml:space="preserve">На начальном этапе здесь в конверсационном анализе исследовались процессы практического умозаключения (inference) и приёмов, посредством которых участники речевого взаимодействия (например, при повествовании историй или при шутках) осуществляют внутреннее структурирование социальных событий и "устанавливают порядок" ведения разговора, указывая попеременно друг другу на предстоящие речевые ходы. </w:t>
      </w:r>
    </w:p>
    <w:p w:rsidR="00EE43CB" w:rsidRDefault="00EE43CB">
      <w:pPr>
        <w:widowControl w:val="0"/>
        <w:spacing w:before="120"/>
        <w:ind w:firstLine="567"/>
        <w:jc w:val="both"/>
        <w:rPr>
          <w:color w:val="000000"/>
          <w:sz w:val="24"/>
          <w:szCs w:val="24"/>
        </w:rPr>
      </w:pPr>
      <w:r>
        <w:rPr>
          <w:color w:val="000000"/>
          <w:sz w:val="24"/>
          <w:szCs w:val="24"/>
        </w:rPr>
        <w:t xml:space="preserve">На следующем этапе учёные обратились к исследованию упорядоченности социальных событий, воздействующих повторяющимися в них образцами и своими структурными свойствами на организацию разговоров. В качестве наиболее сильного и эффективного средства организации разговора стал рассматриваться переход (turn) от одной смены коммуникативных ролей к другой (turn taking), характеризующей границы отдельного речевого вклада (move, хода) каждого и затрагивающего интересы всех сторон. Коммуникативные ходы квалифицируются как средства манифестации говорящими своего понимания направления, в котором развиваются совершаемые действия (т.е. их интерпретации предшествующего хода, соответствующих ожиданий партнёров и своих собственных ожиданий в отношении следующего хода). Границы речевых ходов (как и в анализе дискурса) устанавливаются на основе: а) формальных критериев (паузы, синтаксические конструкции, сигнализирующие возможность очередной мены ролей); б) функциональных критериев (совершение по крайней мере одного коммуникативного хода). </w:t>
      </w:r>
    </w:p>
    <w:p w:rsidR="00EE43CB" w:rsidRDefault="00EE43CB">
      <w:pPr>
        <w:widowControl w:val="0"/>
        <w:spacing w:before="120"/>
        <w:ind w:firstLine="567"/>
        <w:jc w:val="both"/>
        <w:rPr>
          <w:color w:val="000000"/>
          <w:sz w:val="24"/>
          <w:szCs w:val="24"/>
        </w:rPr>
      </w:pPr>
      <w:r>
        <w:rPr>
          <w:color w:val="000000"/>
          <w:sz w:val="24"/>
          <w:szCs w:val="24"/>
        </w:rPr>
        <w:t xml:space="preserve">Речевой вклад понимается как результат процесса, длина и структура определяются ходом речевого взаимодействия (интеракции). Идеальный речевой ход обладает триадической структурой - в первой части указывается на отношение к предшествующему ходу; в третьей части устанавливается отношение к следующему ходу; ради промежуточной части совершается речевой ход. Устанавливается зависимость особенностей речевых ходов от этнокультурных и возрастных факторов, типа дискурса. В исследованиях используются стохастические модели (симулирование статистически частых образцов мены ролей), вероятностные модели (акустические свойства речевых вкладов, следующих друг за другом или производимых одновременно, и паузы), наблюдения над использованием дискретных вербальных и невербальных сигналов в целях управления поведением друг друга (в частности исследования А.С. Недобуха, С.В. Крестинского, А.А. Романова, С.А. Аристова). Мена коммуникативных ролей трактуется как система взаимодействия, гарантирующая беспрерывное протекание разговора, обеспечение как говорящим, так и слушателями условий и соответствующих сигналов (неязыковых или языковых) передачи кому-то из участников права на очередной речевой вклад. Разрабатываются теории последовательности речевых ходов, теории маркированности - немаркированности оптимального хода и теории преимущественного права на определённый речевой ход. Исследования (в частности Н. А. Коминой, О.Д. Белецкой, С.А. Аристова, М.В. Семёновой) отмечают правила сочетаемости и взаимной обусловленности речевых ходов в рамках парных последовательностей (нормативные сочетания и отклонения от нормы). </w:t>
      </w:r>
    </w:p>
    <w:p w:rsidR="00EE43CB" w:rsidRDefault="00EE43CB">
      <w:pPr>
        <w:widowControl w:val="0"/>
        <w:spacing w:before="120"/>
        <w:ind w:firstLine="567"/>
        <w:jc w:val="both"/>
        <w:rPr>
          <w:color w:val="000000"/>
          <w:sz w:val="24"/>
          <w:szCs w:val="24"/>
        </w:rPr>
      </w:pPr>
      <w:r>
        <w:rPr>
          <w:color w:val="000000"/>
          <w:sz w:val="24"/>
          <w:szCs w:val="24"/>
        </w:rPr>
        <w:t xml:space="preserve">Конверсационный анализ существенно отличается от лингвистики текста и от теории речевых актов в характеристике разговоров как результатов конкретных актов деятельности, во внимании к организованной последовательности речевых ходов и мене коммуникативных ролей, к обоснованию выбора говорящим языковых и неязыковых средств с учётом существующих у реципиента предварительных знаний и ожиданий, к возможным нарушениям в смене коммуникативных ролей и их характеру. </w:t>
      </w:r>
    </w:p>
    <w:p w:rsidR="00EE43CB" w:rsidRDefault="00EE43CB">
      <w:pPr>
        <w:widowControl w:val="0"/>
        <w:spacing w:before="120"/>
        <w:ind w:firstLine="567"/>
        <w:jc w:val="both"/>
        <w:rPr>
          <w:color w:val="000000"/>
          <w:sz w:val="24"/>
          <w:szCs w:val="24"/>
        </w:rPr>
      </w:pPr>
      <w:r>
        <w:rPr>
          <w:color w:val="000000"/>
          <w:sz w:val="24"/>
          <w:szCs w:val="24"/>
        </w:rPr>
        <w:t xml:space="preserve">Анализ разговора (Gespraechsanalyse) является немецким вариантом конверсационного анализа, в котором наблюдается сближение с теорией речевых актов (Г. Унгехойер, Д. Вегенер, Х. Рамге, Й. Диттман, Х. Хенне и Х. Ребок, А. Буркхардт). Особое внимание уделяется конверсационным словам (Gespraechswoerter), включающим в себя сигналы членения, сигналы обратной связи и междометия (в англо-американской традиции маркеры дискурса). </w:t>
      </w:r>
    </w:p>
    <w:p w:rsidR="00EE43CB" w:rsidRDefault="00EE43CB">
      <w:pPr>
        <w:widowControl w:val="0"/>
        <w:spacing w:before="120"/>
        <w:ind w:firstLine="567"/>
        <w:jc w:val="both"/>
        <w:rPr>
          <w:color w:val="000000"/>
          <w:sz w:val="24"/>
          <w:szCs w:val="24"/>
        </w:rPr>
      </w:pPr>
      <w:r>
        <w:rPr>
          <w:color w:val="000000"/>
          <w:sz w:val="24"/>
          <w:szCs w:val="24"/>
        </w:rPr>
        <w:t xml:space="preserve">Прагмалингвистика (лингвистическая прагматика) выделяется как область лингвистических исследований, имеющих своим объектом отношение между языковыми единицами и условиями их употребления в определённом коммуникативно-прагматическом пространстве, в котором взаимодействуют говорящий/пишущий и слушающий/читающий и для характеристики которого важны конкретные указания на место и время их речевого взаимодействия, связанные с актом общения цели и ожидания. </w:t>
      </w:r>
    </w:p>
    <w:p w:rsidR="00EE43CB" w:rsidRDefault="00EE43CB">
      <w:pPr>
        <w:widowControl w:val="0"/>
        <w:spacing w:before="120"/>
        <w:ind w:firstLine="567"/>
        <w:jc w:val="both"/>
        <w:rPr>
          <w:color w:val="000000"/>
          <w:sz w:val="24"/>
          <w:szCs w:val="24"/>
        </w:rPr>
      </w:pPr>
      <w:r>
        <w:rPr>
          <w:color w:val="000000"/>
          <w:sz w:val="24"/>
          <w:szCs w:val="24"/>
        </w:rPr>
        <w:t xml:space="preserve">Прагмалингвистика ввела в описание языка акциональный (деятельностный) аспекта. Появляется понятие прагматики в пионерских работах по семиотике, ставивших целью изучение структуры знаковой ситуации (семиозиса) в динамическом, процессуальном аспекте, включая и участников этой ситуации (Чарлз Сандерс Пирс, 1839-1914; Чарлз Уильям Моррис, р. 1901). Ч.У. Моррис (1938) провёл различение трёх разделов семиотики - синтактики (или синтаксиса), имеющей дело с отношениями между знаками, семантики, изучающей отношения между знаком и десигнатом, и прагматики, направленной на исследование отношений между знаком и его интерпретатором. В развитии идей формальной прагматики большой вклад сделан Рудольфом Карнапом. Лингвистическая прагматика на начальном этапе обратилась к описанию дейксиса (шифтерные категории Р.О. Якобсона). Лингвистическая прагматика тесно связана с социолингвистикой и психолингвистикой (особенно в американской науке, где прагматика часто растворяется в них), с философией естественного языка, теорией речевых актов, функциональным синтаксисом, лингвистикой текста, анализом дискурса, теорией текста (отождествление прагматики и теории текста наблюдается в работах Зигфрида Й. Шмидта), конверсационным анализом, этнографией речи, а в последнее время с когнитивной наукой, с исследованиями в области искусственного интеллекта, общей теорией деятельности, теорией коммуникации. В лингвистическую прагматику при широком её понимании включаются проблемы дейксиса, конверсационных импликатур, пресуппозиций, речевых актов, конверсационных структур (Стефен Левинсон, 1983). </w:t>
      </w:r>
    </w:p>
    <w:p w:rsidR="00EE43CB" w:rsidRDefault="00EE43CB">
      <w:pPr>
        <w:widowControl w:val="0"/>
        <w:spacing w:before="120"/>
        <w:ind w:firstLine="567"/>
        <w:jc w:val="both"/>
        <w:rPr>
          <w:color w:val="000000"/>
          <w:sz w:val="24"/>
          <w:szCs w:val="24"/>
        </w:rPr>
      </w:pPr>
      <w:r>
        <w:rPr>
          <w:color w:val="000000"/>
          <w:sz w:val="24"/>
          <w:szCs w:val="24"/>
        </w:rPr>
        <w:t xml:space="preserve">В прагматике имеются два течения: а) ориентированное на систематическое исслеlование прагматического потенциала языковых единиц (текстов, предложений, слов, а также явлений фонетико-фонологической сферы) и б) направленное на изучение взаимодействия коммуникантов в процессе языкового общения и строящее по преимуществу коммуникатороцентрические (автороцентрические) коммуникативные модели. </w:t>
      </w:r>
    </w:p>
    <w:p w:rsidR="00EE43CB" w:rsidRDefault="00EE43CB">
      <w:pPr>
        <w:widowControl w:val="0"/>
        <w:spacing w:before="120"/>
        <w:ind w:firstLine="567"/>
        <w:jc w:val="both"/>
        <w:rPr>
          <w:color w:val="000000"/>
          <w:sz w:val="24"/>
          <w:szCs w:val="24"/>
        </w:rPr>
      </w:pPr>
      <w:r>
        <w:rPr>
          <w:color w:val="000000"/>
          <w:sz w:val="24"/>
          <w:szCs w:val="24"/>
        </w:rPr>
        <w:t xml:space="preserve">Усилия представителей первого течения направлены на решение вопроса об установлении границ между семантикой и прагматикой, в равной степени имеющими дело с языковыми значениями (Ханс-Хайнрих Либ, Роланд Познер, Дж. Р. Сёрл, Петр Сгалл, Н.П. Анисимова М.В. Никитин). Имеются попытки отнести к ведению семантики независимые от контекста значения языковых единиц (и независимую от контекста сторону условия истинности пропозиций/высказываний), а к ведению прагматики - речевые функции языковых высказываний и ситуационно обусловленную сторону выраженных в них пропозиций. Ведутся споры об отношении семантических и прагматических моментов при трактовке значения дейктических знаков (указывающих на взаимное положение коммуникантов в системе координат "Я - Сейчас - Здесь"), проблем топикализации (помещение составляющей, не несущей функции субъекта, в начало высказывания), пресуппозиций (само собой разумеющиеся и не нуждающиеся в выражении предпосылки данных высказываний) и т.д. Здесь имеет место автороцентрический подход к анализу высказывания. В нем могут выделяться прагматическая рамка и пропозициональная часть. </w:t>
      </w:r>
    </w:p>
    <w:p w:rsidR="00EE43CB" w:rsidRDefault="00EE43CB">
      <w:pPr>
        <w:widowControl w:val="0"/>
        <w:spacing w:before="120"/>
        <w:ind w:firstLine="567"/>
        <w:jc w:val="both"/>
        <w:rPr>
          <w:color w:val="000000"/>
          <w:sz w:val="24"/>
          <w:szCs w:val="24"/>
        </w:rPr>
      </w:pPr>
      <w:r>
        <w:rPr>
          <w:color w:val="000000"/>
          <w:sz w:val="24"/>
          <w:szCs w:val="24"/>
        </w:rPr>
        <w:t xml:space="preserve">Второе течение лингвистической прагматики в начале 70-х гг. смыкается с теорией речевых актов. Растёт интерес к эмпирическим исследованиям в области конверсационного анализа, к конверсационным максимам Пола Г. Грайса. Делаются новые попытки исследовать взаимоотношение семантики и прагматики (на материале дейксиса, пресуппозиций и т.п.). Особое внимание уделяется правилам и конвенциям языкового общения, организующим чередование речевых ходов коммуникантов, структурирование и упорядочение в смысловом и формальном аспектах линейно развёртывающегося дискурса, диктующим отбор языковых средств и построения высказываний (в соответствии с требованиями количества, качества и релевантности передаваемой информации, подходящего способа её передачи, соблюдения вежливости к собеседнику, допущения в определённых случаях иронии, учёта статусных ролей коммуникантов, предвидения имеющихся у собеседника знаний и его информационных потребностей). </w:t>
      </w:r>
    </w:p>
    <w:p w:rsidR="00EE43CB" w:rsidRDefault="00EE43CB">
      <w:pPr>
        <w:widowControl w:val="0"/>
        <w:spacing w:before="120"/>
        <w:ind w:firstLine="567"/>
        <w:jc w:val="both"/>
        <w:rPr>
          <w:color w:val="000000"/>
          <w:sz w:val="24"/>
          <w:szCs w:val="24"/>
          <w:lang w:val="en-US"/>
        </w:rPr>
      </w:pPr>
      <w:r>
        <w:rPr>
          <w:color w:val="000000"/>
          <w:sz w:val="24"/>
          <w:szCs w:val="24"/>
        </w:rPr>
        <w:t>Исследования в области лингвистической прагматики имеют интернациональный характер и отличаются исключительной многоаспектностью (П. Вацлавик, Дж.Х. Бивен, Д.Д. Джексон, Х.П. Грайс, Д. Хаймз, Р.Ч. Столнейкер, Д. Вундерлих, Й. Ребайн, Дж. Версурен, Д. Вандервекен, Т.А. ван Дейк, С. Левинсон, Дж. Лич, Я. Мей, И.П. Сусов, В.В. Богданов, Л.П. Чахоян, Г.Г. Почепцов, Г.Г. Почепцов мл., О.Г. Почепцов, В.В. Лазарев, Ю.С. Степанов, Т.В. Булыгина, Н.Д. Арутюнова, Е.В. Падучева, А.Е. Кибрик, И.М. Кобозева, В.З. Демьянков, А.А. Романов, С.А. Сухих, М.Л. Макаров, Л.Г. Васильев, В.И. Иванова, В.И. Заботкина, М.В. Никитин и др.). Существует Международная прагматическая ассоциация, регулярно проводящая свои конгрессы. Издаются</w:t>
      </w:r>
      <w:r>
        <w:rPr>
          <w:color w:val="000000"/>
          <w:sz w:val="24"/>
          <w:szCs w:val="24"/>
          <w:lang w:val="en-US"/>
        </w:rPr>
        <w:t xml:space="preserve"> </w:t>
      </w:r>
      <w:r>
        <w:rPr>
          <w:color w:val="000000"/>
          <w:sz w:val="24"/>
          <w:szCs w:val="24"/>
        </w:rPr>
        <w:t>журналы</w:t>
      </w:r>
      <w:r>
        <w:rPr>
          <w:color w:val="000000"/>
          <w:sz w:val="24"/>
          <w:szCs w:val="24"/>
          <w:lang w:val="en-US"/>
        </w:rPr>
        <w:t xml:space="preserve"> "Pragmatics" </w:t>
      </w:r>
      <w:r>
        <w:rPr>
          <w:color w:val="000000"/>
          <w:sz w:val="24"/>
          <w:szCs w:val="24"/>
        </w:rPr>
        <w:t>и</w:t>
      </w:r>
      <w:r>
        <w:rPr>
          <w:color w:val="000000"/>
          <w:sz w:val="24"/>
          <w:szCs w:val="24"/>
          <w:lang w:val="en-US"/>
        </w:rPr>
        <w:t xml:space="preserve"> "Journal of pragmatics".</w:t>
      </w:r>
    </w:p>
    <w:p w:rsidR="00EE43CB" w:rsidRDefault="00EE43CB">
      <w:pPr>
        <w:widowControl w:val="0"/>
        <w:spacing w:before="120"/>
        <w:ind w:firstLine="567"/>
        <w:jc w:val="both"/>
        <w:rPr>
          <w:color w:val="000000"/>
          <w:sz w:val="24"/>
          <w:szCs w:val="24"/>
        </w:rPr>
      </w:pPr>
      <w:r>
        <w:rPr>
          <w:color w:val="000000"/>
          <w:sz w:val="24"/>
          <w:szCs w:val="24"/>
        </w:rPr>
        <w:t xml:space="preserve">И.П.Сусов </w:t>
      </w:r>
    </w:p>
    <w:p w:rsidR="00EE43CB" w:rsidRDefault="00EE43CB">
      <w:pPr>
        <w:widowControl w:val="0"/>
        <w:spacing w:before="120"/>
        <w:ind w:firstLine="590"/>
        <w:jc w:val="both"/>
        <w:rPr>
          <w:color w:val="000000"/>
          <w:sz w:val="24"/>
          <w:szCs w:val="24"/>
        </w:rPr>
      </w:pPr>
      <w:bookmarkStart w:id="0" w:name="_GoBack"/>
      <w:bookmarkEnd w:id="0"/>
    </w:p>
    <w:sectPr w:rsidR="00EE43C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558"/>
    <w:rsid w:val="00957EE6"/>
    <w:rsid w:val="00D61558"/>
    <w:rsid w:val="00E54A6F"/>
    <w:rsid w:val="00EE43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903E77-CAE4-47EF-B5C5-96A1A50D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12754</Words>
  <Characters>7270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Коммуникативно-деятельностные теории языка </vt:lpstr>
    </vt:vector>
  </TitlesOfParts>
  <Company>PERSONAL COMPUTERS</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Коммуникативно-деятельностные теории языка </dc:title>
  <dc:subject/>
  <dc:creator>USER</dc:creator>
  <cp:keywords/>
  <dc:description/>
  <cp:lastModifiedBy>admin</cp:lastModifiedBy>
  <cp:revision>2</cp:revision>
  <dcterms:created xsi:type="dcterms:W3CDTF">2014-01-26T12:21:00Z</dcterms:created>
  <dcterms:modified xsi:type="dcterms:W3CDTF">2014-01-26T12:21:00Z</dcterms:modified>
</cp:coreProperties>
</file>