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B9" w:rsidRPr="008C713E" w:rsidRDefault="004211B9" w:rsidP="008C713E">
      <w:pPr>
        <w:pStyle w:val="1"/>
        <w:jc w:val="center"/>
        <w:rPr>
          <w:sz w:val="28"/>
          <w:szCs w:val="28"/>
        </w:rPr>
      </w:pPr>
      <w:r w:rsidRPr="008C713E">
        <w:rPr>
          <w:sz w:val="28"/>
          <w:szCs w:val="28"/>
        </w:rPr>
        <w:t>План</w:t>
      </w: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pStyle w:val="1"/>
        <w:ind w:firstLine="0"/>
        <w:rPr>
          <w:b w:val="0"/>
          <w:bCs w:val="0"/>
          <w:sz w:val="28"/>
          <w:szCs w:val="28"/>
        </w:rPr>
      </w:pPr>
      <w:r w:rsidRPr="008C713E">
        <w:rPr>
          <w:b w:val="0"/>
          <w:bCs w:val="0"/>
          <w:sz w:val="28"/>
          <w:szCs w:val="28"/>
        </w:rPr>
        <w:t>1. Поня</w:t>
      </w:r>
      <w:r w:rsidR="008C713E">
        <w:rPr>
          <w:b w:val="0"/>
          <w:bCs w:val="0"/>
          <w:sz w:val="28"/>
          <w:szCs w:val="28"/>
        </w:rPr>
        <w:t>т</w:t>
      </w:r>
      <w:r w:rsidRPr="008C713E">
        <w:rPr>
          <w:b w:val="0"/>
          <w:bCs w:val="0"/>
          <w:sz w:val="28"/>
          <w:szCs w:val="28"/>
        </w:rPr>
        <w:t xml:space="preserve">ие, виды и </w:t>
      </w:r>
      <w:r w:rsidR="008C713E">
        <w:rPr>
          <w:b w:val="0"/>
          <w:bCs w:val="0"/>
          <w:sz w:val="28"/>
          <w:szCs w:val="28"/>
        </w:rPr>
        <w:t>ст</w:t>
      </w:r>
      <w:r w:rsidRPr="008C713E">
        <w:rPr>
          <w:b w:val="0"/>
          <w:bCs w:val="0"/>
          <w:sz w:val="28"/>
          <w:szCs w:val="28"/>
        </w:rPr>
        <w:t>ороны внешне</w:t>
      </w:r>
      <w:r w:rsidR="008C713E">
        <w:rPr>
          <w:b w:val="0"/>
          <w:bCs w:val="0"/>
          <w:sz w:val="28"/>
          <w:szCs w:val="28"/>
        </w:rPr>
        <w:t>т</w:t>
      </w:r>
      <w:r w:rsidRPr="008C713E">
        <w:rPr>
          <w:b w:val="0"/>
          <w:bCs w:val="0"/>
          <w:sz w:val="28"/>
          <w:szCs w:val="28"/>
        </w:rPr>
        <w:t xml:space="preserve">орговых </w:t>
      </w:r>
      <w:r w:rsidR="008C713E">
        <w:rPr>
          <w:b w:val="0"/>
          <w:bCs w:val="0"/>
          <w:sz w:val="28"/>
          <w:szCs w:val="28"/>
        </w:rPr>
        <w:t>с</w:t>
      </w:r>
      <w:r w:rsidRPr="008C713E">
        <w:rPr>
          <w:b w:val="0"/>
          <w:bCs w:val="0"/>
          <w:sz w:val="28"/>
          <w:szCs w:val="28"/>
        </w:rPr>
        <w:t>делок</w:t>
      </w:r>
    </w:p>
    <w:p w:rsidR="004211B9" w:rsidRPr="008C713E" w:rsidRDefault="004211B9" w:rsidP="008C713E">
      <w:pPr>
        <w:pStyle w:val="23"/>
        <w:spacing w:line="360" w:lineRule="auto"/>
        <w:ind w:firstLine="0"/>
        <w:rPr>
          <w:b w:val="0"/>
          <w:bCs w:val="0"/>
        </w:rPr>
      </w:pPr>
      <w:r w:rsidRPr="008C713E">
        <w:rPr>
          <w:b w:val="0"/>
          <w:bCs w:val="0"/>
        </w:rPr>
        <w:t>2. Компен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ационные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делки, как форма внешнеэкономиче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кой дея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ельно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и</w:t>
      </w: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pStyle w:val="1"/>
        <w:jc w:val="center"/>
        <w:rPr>
          <w:sz w:val="28"/>
          <w:szCs w:val="28"/>
        </w:rPr>
      </w:pPr>
      <w:r w:rsidRPr="008C713E">
        <w:rPr>
          <w:sz w:val="28"/>
          <w:szCs w:val="28"/>
        </w:rPr>
        <w:t>1. Поня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ие, виды и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ороны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орговых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делок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>В п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оце</w:t>
      </w:r>
      <w:r w:rsidR="008C713E">
        <w:rPr>
          <w:b w:val="0"/>
          <w:bCs w:val="0"/>
        </w:rPr>
        <w:t>сс</w:t>
      </w:r>
      <w:r w:rsidRPr="008C713E">
        <w:rPr>
          <w:b w:val="0"/>
          <w:bCs w:val="0"/>
        </w:rPr>
        <w:t>е 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уще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вления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гово-экономиче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ких, научно-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ехниче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ких и иных междуна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одных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вязей между 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ганизациями и фи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мами 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азличных го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уда</w:t>
      </w:r>
      <w:r w:rsidR="008C713E">
        <w:rPr>
          <w:b w:val="0"/>
          <w:bCs w:val="0"/>
        </w:rPr>
        <w:t>рст</w:t>
      </w:r>
      <w:r w:rsidRPr="008C713E">
        <w:rPr>
          <w:b w:val="0"/>
          <w:bCs w:val="0"/>
        </w:rPr>
        <w:t>в заключае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>я большое чи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ло догово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ов, обычно именуемых кон</w:t>
      </w:r>
      <w:r w:rsidR="008C713E">
        <w:rPr>
          <w:b w:val="0"/>
          <w:bCs w:val="0"/>
        </w:rPr>
        <w:t>тр</w:t>
      </w:r>
      <w:r w:rsidRPr="008C713E">
        <w:rPr>
          <w:b w:val="0"/>
          <w:bCs w:val="0"/>
        </w:rPr>
        <w:t>ак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ами. </w:t>
      </w: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новной правовой формой эк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пор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но-импор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ных внешнеэкономиче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ких операций в Украине являе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>я внешне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орговый договор (кон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рак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). </w:t>
      </w: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>Внешне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говой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делки в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воей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овокупно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и об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азую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 междуна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одный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говый обо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, по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упа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ельное 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азви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ие ко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ого вы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ажае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 xml:space="preserve">я как в 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е его объема в 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оимо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ном вы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ажении,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ак и в п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ог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е</w:t>
      </w:r>
      <w:r w:rsidR="008C713E">
        <w:rPr>
          <w:b w:val="0"/>
          <w:bCs w:val="0"/>
        </w:rPr>
        <w:t>сс</w:t>
      </w:r>
      <w:r w:rsidRPr="008C713E">
        <w:rPr>
          <w:b w:val="0"/>
          <w:bCs w:val="0"/>
        </w:rPr>
        <w:t>и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ующем 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азнооб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азии его фо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м, ч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о, в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вою оче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едь,</w:t>
      </w:r>
      <w:r w:rsidR="008C713E">
        <w:rPr>
          <w:b w:val="0"/>
          <w:bCs w:val="0"/>
        </w:rPr>
        <w:t xml:space="preserve"> </w:t>
      </w:r>
      <w:r w:rsidRPr="008C713E">
        <w:rPr>
          <w:b w:val="0"/>
          <w:bCs w:val="0"/>
        </w:rPr>
        <w:t>обу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лавливае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 появление в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е новых и новых видов междуна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одных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говых кон</w:t>
      </w:r>
      <w:r w:rsidR="008C713E">
        <w:rPr>
          <w:b w:val="0"/>
          <w:bCs w:val="0"/>
        </w:rPr>
        <w:t>тр</w:t>
      </w:r>
      <w:r w:rsidRPr="008C713E">
        <w:rPr>
          <w:b w:val="0"/>
          <w:bCs w:val="0"/>
        </w:rPr>
        <w:t>ак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ов. П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имени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ельно к офо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млению о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ношений, ко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ые 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егули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ую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>я э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ими догово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ами, и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пользую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 xml:space="preserve">я 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азличные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е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мины: "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делка", "догово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", "кон</w:t>
      </w:r>
      <w:r w:rsidR="008C713E">
        <w:rPr>
          <w:b w:val="0"/>
          <w:bCs w:val="0"/>
        </w:rPr>
        <w:t>тр</w:t>
      </w:r>
      <w:r w:rsidRPr="008C713E">
        <w:rPr>
          <w:b w:val="0"/>
          <w:bCs w:val="0"/>
        </w:rPr>
        <w:t>ак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", "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оглашение", "догово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енно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ь".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i/>
          <w:iCs/>
          <w:sz w:val="28"/>
          <w:szCs w:val="28"/>
        </w:rPr>
      </w:pPr>
      <w:r w:rsidRPr="008C713E">
        <w:rPr>
          <w:sz w:val="28"/>
          <w:szCs w:val="28"/>
        </w:rPr>
        <w:t xml:space="preserve"> Догово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 xml:space="preserve"> п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едполагае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оглашение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он, конк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 оп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еделяющее э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и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оны, п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едме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, в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ношении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ого до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игае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 xml:space="preserve">я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оглашение, зак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епляющее п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ава и обязанно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и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он, иначе гово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я, э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 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офо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 xml:space="preserve">мление или </w:t>
      </w:r>
      <w:r w:rsidR="008C713E" w:rsidRPr="008C713E">
        <w:rPr>
          <w:sz w:val="28"/>
          <w:szCs w:val="28"/>
        </w:rPr>
        <w:t>воплощение</w:t>
      </w:r>
      <w:r w:rsidRPr="008C713E">
        <w:rPr>
          <w:sz w:val="28"/>
          <w:szCs w:val="28"/>
        </w:rPr>
        <w:t xml:space="preserve">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делки. П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и э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ом 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азличае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к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уг воп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ов в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ношение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делки и непо</w:t>
      </w:r>
      <w:r w:rsidR="008C713E">
        <w:rPr>
          <w:sz w:val="28"/>
          <w:szCs w:val="28"/>
        </w:rPr>
        <w:t>ср</w:t>
      </w:r>
      <w:r w:rsidRPr="008C713E">
        <w:rPr>
          <w:sz w:val="28"/>
          <w:szCs w:val="28"/>
        </w:rPr>
        <w:t>ед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венно догово</w:t>
      </w:r>
      <w:r w:rsidR="008C713E">
        <w:rPr>
          <w:sz w:val="28"/>
          <w:szCs w:val="28"/>
        </w:rPr>
        <w:t>р</w:t>
      </w:r>
      <w:r w:rsidRPr="008C713E">
        <w:rPr>
          <w:sz w:val="28"/>
          <w:szCs w:val="28"/>
        </w:rPr>
        <w:t xml:space="preserve">а. 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i/>
          <w:iCs/>
          <w:sz w:val="28"/>
          <w:szCs w:val="28"/>
        </w:rPr>
        <w:t>Внешне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>орговый договор</w:t>
      </w:r>
      <w:r w:rsidRPr="008C713E">
        <w:rPr>
          <w:sz w:val="28"/>
          <w:szCs w:val="28"/>
        </w:rPr>
        <w:t xml:space="preserve"> – э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 вид хозяй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венной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делки,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 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ь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оглашение экономиче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ких аген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ов, один из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орых являе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резиден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ом Украины  либо,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акже, являя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ь резиден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ом Украины, имее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за рубежом коммерче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кую организацию, направленное на у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ановление, изменение или прекращение граждан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ких прав и обязанно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ей при 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уще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влении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орговых (эк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ных, импор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ных и реэк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ных) операций. 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Пред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авляе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я, ч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 он должен включа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ь в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ебя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ледующие признаки: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1. Нерезиден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ь одного из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убъек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ов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оргового правоо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ношения – различная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венная принадлежно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ера и импор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ера либо нахождение в различных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вах их коммерче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ких предприя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ий, через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орые иду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грузка, приемка и опла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 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ных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оваров (наличие в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убъек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ном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аве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оргового правоо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ношения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ранного либо приравненного к нему элемен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а).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К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ранным уча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никам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орговой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делки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я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ранные лица –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убъек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ы права, легализовавшие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я в у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ановленном законода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вом Украины порядке и формах в каче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 уча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ников хозяй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венной дея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 и 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уще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вляющие ее на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ерри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ории Украины в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ве</w:t>
      </w:r>
      <w:r w:rsidR="008C713E">
        <w:rPr>
          <w:sz w:val="28"/>
          <w:szCs w:val="28"/>
        </w:rPr>
        <w:t>тст</w:t>
      </w:r>
      <w:r w:rsidRPr="008C713E">
        <w:rPr>
          <w:sz w:val="28"/>
          <w:szCs w:val="28"/>
        </w:rPr>
        <w:t xml:space="preserve">вии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 дей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вующим законода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вом: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а) организации, граждан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кая право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убъек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орых определяе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по праву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ранного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ва, в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ором они учреждены либо на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ерри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ории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орого они 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уще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вляю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ча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ь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воей у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авной дея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и;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б) Физиче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кие лица -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ранные граждане, граждан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кая право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убъек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орых определяе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по праву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ранного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ва, гражданами либо подданными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орого они являю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я;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в) лица без граждан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ва, граждан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кая дее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обно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орых определяе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по праву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ранного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ва, в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ором э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и лица имею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по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оянное ме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 жи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ва.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К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ранным уча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никам внешнеэкономиче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кой дея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и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акже приравниваю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вы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упающие в хозяй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венном оборо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е на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ерри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ории Украины в каче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ве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убъек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ов граждан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ких прав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ранные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ва, их админи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ивно-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ерри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ориальные единицы и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венные органы;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убъек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ы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ранных федера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ивных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в; международные организации.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Нерезиден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одного из уча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ников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оргового договора закрепляе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во вводной ча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 кон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а, определяющей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ороны договора.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2. И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пользование международных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орговых и иных внешнеэкономиче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ких обычаев при моделировании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одержания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делки.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3.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ражение в разделе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оргового кон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 «Валю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ная оговорка» возможно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и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пользования при 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уще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влении ра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че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ов по 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но-импор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ным операциям валю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ранных го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удар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 либо оценка в э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их валю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ах обяза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в, возникающих из договора.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i/>
          <w:iCs/>
          <w:sz w:val="28"/>
          <w:szCs w:val="28"/>
        </w:rPr>
        <w:t>Факуль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>а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 xml:space="preserve">ивными признаками </w:t>
      </w:r>
      <w:r w:rsidRPr="008C713E">
        <w:rPr>
          <w:sz w:val="28"/>
          <w:szCs w:val="28"/>
        </w:rPr>
        <w:t>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орговой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делки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лужа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ледующие 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обенно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 внешнеэкономиче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ких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орговых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ношений, правовой формой ко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орых являе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орговый кон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: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а) Признаки,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ражающие 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>ран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 xml:space="preserve">граничный </w:t>
      </w:r>
      <w:r w:rsidRPr="008C713E">
        <w:rPr>
          <w:sz w:val="28"/>
          <w:szCs w:val="28"/>
        </w:rPr>
        <w:t>харак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орговых операций (фак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пере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ечения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оваром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аможенной границы РФ): возникновение за рубежом Ро</w:t>
      </w:r>
      <w:r w:rsidR="008C713E">
        <w:rPr>
          <w:sz w:val="28"/>
          <w:szCs w:val="28"/>
        </w:rPr>
        <w:t>сс</w:t>
      </w:r>
      <w:r w:rsidRPr="008C713E">
        <w:rPr>
          <w:sz w:val="28"/>
          <w:szCs w:val="28"/>
        </w:rPr>
        <w:t xml:space="preserve">ии права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об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венно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и либо иного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ула на имуще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во, являющее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я объек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ом импор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ной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делки; и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полнение вне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аможенной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ерри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ории Ро</w:t>
      </w:r>
      <w:r w:rsidR="008C713E">
        <w:rPr>
          <w:sz w:val="28"/>
          <w:szCs w:val="28"/>
        </w:rPr>
        <w:t>сс</w:t>
      </w:r>
      <w:r w:rsidRPr="008C713E">
        <w:rPr>
          <w:sz w:val="28"/>
          <w:szCs w:val="28"/>
        </w:rPr>
        <w:t>ий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кой Федерации обяза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ва, возникающего из договора, либо его элемен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а;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 xml:space="preserve">б) </w:t>
      </w:r>
      <w:r w:rsidRPr="008C713E">
        <w:rPr>
          <w:i/>
          <w:iCs/>
          <w:sz w:val="28"/>
          <w:szCs w:val="28"/>
        </w:rPr>
        <w:t>Ма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>ериально-правовой признак</w:t>
      </w:r>
      <w:r w:rsidRPr="008C713E">
        <w:rPr>
          <w:sz w:val="28"/>
          <w:szCs w:val="28"/>
        </w:rPr>
        <w:t xml:space="preserve"> –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ражаемая в разделе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оргового кон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 «Применимое право» допу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имо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применения ино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ранного и международного  права к регулированию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ношений, возникающих из договора;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 xml:space="preserve">в) </w:t>
      </w:r>
      <w:r w:rsidRPr="008C713E">
        <w:rPr>
          <w:i/>
          <w:iCs/>
          <w:sz w:val="28"/>
          <w:szCs w:val="28"/>
        </w:rPr>
        <w:t>Проце</w:t>
      </w:r>
      <w:r w:rsidR="008C713E">
        <w:rPr>
          <w:i/>
          <w:iCs/>
          <w:sz w:val="28"/>
          <w:szCs w:val="28"/>
        </w:rPr>
        <w:t>сс</w:t>
      </w:r>
      <w:r w:rsidRPr="008C713E">
        <w:rPr>
          <w:i/>
          <w:iCs/>
          <w:sz w:val="28"/>
          <w:szCs w:val="28"/>
        </w:rPr>
        <w:t xml:space="preserve">уально -  правовой признак </w:t>
      </w:r>
      <w:r w:rsidRPr="008C713E">
        <w:rPr>
          <w:sz w:val="28"/>
          <w:szCs w:val="28"/>
        </w:rPr>
        <w:t>возможно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ь обращения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орон договора к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ред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вам международной юри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дикции при защи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е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воих нарушенных прав и охраняемых законом ин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ов (раздел кон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 «Арби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ражная оговорка»).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В Украин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ком граждан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ком праве,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орговом законода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 большин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ва зарубежных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ран, а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ак же в международном экономиче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ком праве договор международной купли-продажи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оваров моделируе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 xml:space="preserve">я как </w:t>
      </w:r>
      <w:r w:rsidRPr="008C713E">
        <w:rPr>
          <w:i/>
          <w:iCs/>
          <w:sz w:val="28"/>
          <w:szCs w:val="28"/>
        </w:rPr>
        <w:t>дву</w:t>
      </w:r>
      <w:r w:rsidR="008C713E">
        <w:rPr>
          <w:i/>
          <w:iCs/>
          <w:sz w:val="28"/>
          <w:szCs w:val="28"/>
        </w:rPr>
        <w:t>ст</w:t>
      </w:r>
      <w:r w:rsidRPr="008C713E">
        <w:rPr>
          <w:i/>
          <w:iCs/>
          <w:sz w:val="28"/>
          <w:szCs w:val="28"/>
        </w:rPr>
        <w:t>ороннее кон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>ен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 xml:space="preserve">уальное 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 xml:space="preserve">оглашение 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 xml:space="preserve"> уча</w:t>
      </w:r>
      <w:r w:rsidR="008C713E">
        <w:rPr>
          <w:i/>
          <w:iCs/>
          <w:sz w:val="28"/>
          <w:szCs w:val="28"/>
        </w:rPr>
        <w:t>ст</w:t>
      </w:r>
      <w:r w:rsidRPr="008C713E">
        <w:rPr>
          <w:i/>
          <w:iCs/>
          <w:sz w:val="28"/>
          <w:szCs w:val="28"/>
        </w:rPr>
        <w:t>ием ино</w:t>
      </w:r>
      <w:r w:rsidR="008C713E">
        <w:rPr>
          <w:i/>
          <w:iCs/>
          <w:sz w:val="28"/>
          <w:szCs w:val="28"/>
        </w:rPr>
        <w:t>ст</w:t>
      </w:r>
      <w:r w:rsidRPr="008C713E">
        <w:rPr>
          <w:i/>
          <w:iCs/>
          <w:sz w:val="28"/>
          <w:szCs w:val="28"/>
        </w:rPr>
        <w:t>ранного либо приравненного к нему элемен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 xml:space="preserve">а, 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>овершаемое в про</w:t>
      </w:r>
      <w:r w:rsidR="008C713E">
        <w:rPr>
          <w:i/>
          <w:iCs/>
          <w:sz w:val="28"/>
          <w:szCs w:val="28"/>
        </w:rPr>
        <w:t>ст</w:t>
      </w:r>
      <w:r w:rsidRPr="008C713E">
        <w:rPr>
          <w:i/>
          <w:iCs/>
          <w:sz w:val="28"/>
          <w:szCs w:val="28"/>
        </w:rPr>
        <w:t>ой пи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>ьменной (по ро</w:t>
      </w:r>
      <w:r w:rsidR="008C713E">
        <w:rPr>
          <w:i/>
          <w:iCs/>
          <w:sz w:val="28"/>
          <w:szCs w:val="28"/>
        </w:rPr>
        <w:t>сс</w:t>
      </w:r>
      <w:r w:rsidRPr="008C713E">
        <w:rPr>
          <w:i/>
          <w:iCs/>
          <w:sz w:val="28"/>
          <w:szCs w:val="28"/>
        </w:rPr>
        <w:t>ий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>кому праву) или в у</w:t>
      </w:r>
      <w:r w:rsidR="008C713E">
        <w:rPr>
          <w:i/>
          <w:iCs/>
          <w:sz w:val="28"/>
          <w:szCs w:val="28"/>
        </w:rPr>
        <w:t>ст</w:t>
      </w:r>
      <w:r w:rsidRPr="008C713E">
        <w:rPr>
          <w:i/>
          <w:iCs/>
          <w:sz w:val="28"/>
          <w:szCs w:val="28"/>
        </w:rPr>
        <w:t>ной (по международному ча</w:t>
      </w:r>
      <w:r w:rsidR="008C713E">
        <w:rPr>
          <w:i/>
          <w:iCs/>
          <w:sz w:val="28"/>
          <w:szCs w:val="28"/>
        </w:rPr>
        <w:t>ст</w:t>
      </w:r>
      <w:r w:rsidRPr="008C713E">
        <w:rPr>
          <w:i/>
          <w:iCs/>
          <w:sz w:val="28"/>
          <w:szCs w:val="28"/>
        </w:rPr>
        <w:t xml:space="preserve">ному праву) форме, 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>одержанием ко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>орого являе</w:t>
      </w:r>
      <w:r w:rsidR="008C713E">
        <w:rPr>
          <w:i/>
          <w:iCs/>
          <w:sz w:val="28"/>
          <w:szCs w:val="28"/>
        </w:rPr>
        <w:t>тс</w:t>
      </w:r>
      <w:r w:rsidRPr="008C713E">
        <w:rPr>
          <w:i/>
          <w:iCs/>
          <w:sz w:val="28"/>
          <w:szCs w:val="28"/>
        </w:rPr>
        <w:t>я межго</w:t>
      </w:r>
      <w:r w:rsidR="008C713E">
        <w:rPr>
          <w:i/>
          <w:iCs/>
          <w:sz w:val="28"/>
          <w:szCs w:val="28"/>
        </w:rPr>
        <w:t>с</w:t>
      </w:r>
      <w:r w:rsidRPr="008C713E">
        <w:rPr>
          <w:i/>
          <w:iCs/>
          <w:sz w:val="28"/>
          <w:szCs w:val="28"/>
        </w:rPr>
        <w:t>удар</w:t>
      </w:r>
      <w:r w:rsidR="008C713E">
        <w:rPr>
          <w:i/>
          <w:iCs/>
          <w:sz w:val="28"/>
          <w:szCs w:val="28"/>
        </w:rPr>
        <w:t>ст</w:t>
      </w:r>
      <w:r w:rsidRPr="008C713E">
        <w:rPr>
          <w:i/>
          <w:iCs/>
          <w:sz w:val="28"/>
          <w:szCs w:val="28"/>
        </w:rPr>
        <w:t>венный возмездный эквивален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 xml:space="preserve">ный обмен 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>овара на деньги (валю</w:t>
      </w:r>
      <w:r w:rsidR="008C713E">
        <w:rPr>
          <w:i/>
          <w:iCs/>
          <w:sz w:val="28"/>
          <w:szCs w:val="28"/>
        </w:rPr>
        <w:t>т</w:t>
      </w:r>
      <w:r w:rsidRPr="008C713E">
        <w:rPr>
          <w:i/>
          <w:iCs/>
          <w:sz w:val="28"/>
          <w:szCs w:val="28"/>
        </w:rPr>
        <w:t>у).</w:t>
      </w:r>
      <w:r w:rsidRPr="008C713E">
        <w:rPr>
          <w:sz w:val="28"/>
          <w:szCs w:val="28"/>
        </w:rPr>
        <w:t xml:space="preserve"> </w:t>
      </w:r>
    </w:p>
    <w:p w:rsidR="004211B9" w:rsidRPr="008C713E" w:rsidRDefault="004211B9" w:rsidP="008C713E">
      <w:pPr>
        <w:spacing w:line="360" w:lineRule="auto"/>
        <w:ind w:right="43"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Кон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ен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уально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договора означае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, ч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 права, обязанно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 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ера и импор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ера возникаю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в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момен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, когда они до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игну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оглашения по в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ем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уще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венным у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ловиям договора и облеку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договоренно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ь в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ребуемую законом форму, а не в момен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реального выполнения каких-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 юридиче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ки значимых дей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вий.</w:t>
      </w:r>
    </w:p>
    <w:p w:rsidR="004211B9" w:rsidRPr="008C713E" w:rsidRDefault="004211B9" w:rsidP="008C713E">
      <w:pPr>
        <w:pStyle w:val="3"/>
        <w:tabs>
          <w:tab w:val="left" w:pos="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8C713E">
        <w:rPr>
          <w:sz w:val="28"/>
          <w:szCs w:val="28"/>
        </w:rPr>
        <w:t>Кла</w:t>
      </w:r>
      <w:r w:rsidR="008C713E">
        <w:rPr>
          <w:sz w:val="28"/>
          <w:szCs w:val="28"/>
        </w:rPr>
        <w:t>сс</w:t>
      </w:r>
      <w:r w:rsidRPr="008C713E">
        <w:rPr>
          <w:sz w:val="28"/>
          <w:szCs w:val="28"/>
        </w:rPr>
        <w:t>ификация внешне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орговых операций и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делок.</w:t>
      </w:r>
    </w:p>
    <w:p w:rsidR="004211B9" w:rsidRPr="008C713E" w:rsidRDefault="004211B9" w:rsidP="008C713E">
      <w:pPr>
        <w:tabs>
          <w:tab w:val="left" w:pos="0"/>
        </w:tabs>
        <w:spacing w:line="360" w:lineRule="auto"/>
        <w:rPr>
          <w:sz w:val="28"/>
          <w:szCs w:val="28"/>
        </w:rPr>
      </w:pPr>
      <w:r w:rsidRPr="008C713E">
        <w:rPr>
          <w:sz w:val="28"/>
          <w:szCs w:val="28"/>
        </w:rPr>
        <w:t>Кла</w:t>
      </w:r>
      <w:r w:rsidR="008C713E">
        <w:rPr>
          <w:sz w:val="28"/>
          <w:szCs w:val="28"/>
        </w:rPr>
        <w:t>сс</w:t>
      </w:r>
      <w:r w:rsidRPr="008C713E">
        <w:rPr>
          <w:sz w:val="28"/>
          <w:szCs w:val="28"/>
        </w:rPr>
        <w:t xml:space="preserve">ификация операций:   </w:t>
      </w:r>
    </w:p>
    <w:p w:rsidR="004211B9" w:rsidRPr="008C713E" w:rsidRDefault="004211B9" w:rsidP="008C713E">
      <w:pPr>
        <w:tabs>
          <w:tab w:val="left" w:pos="0"/>
          <w:tab w:val="left" w:pos="284"/>
        </w:tabs>
        <w:spacing w:line="360" w:lineRule="auto"/>
        <w:rPr>
          <w:sz w:val="28"/>
          <w:szCs w:val="28"/>
        </w:rPr>
      </w:pPr>
      <w:r w:rsidRPr="008C713E">
        <w:rPr>
          <w:sz w:val="28"/>
          <w:szCs w:val="28"/>
        </w:rPr>
        <w:t xml:space="preserve">1.   по   направлениям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орговли: </w:t>
      </w:r>
    </w:p>
    <w:p w:rsidR="004211B9" w:rsidRPr="008C713E" w:rsidRDefault="004211B9" w:rsidP="008C713E">
      <w:pPr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новные (эк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ные, импор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ные,  реэк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н, реимпор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н),          </w:t>
      </w:r>
    </w:p>
    <w:p w:rsidR="004211B9" w:rsidRPr="008C713E" w:rsidRDefault="004211B9" w:rsidP="008C713E">
      <w:pPr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в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помога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(креди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ные, ра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че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но-пла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ежные, рекламные,  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раховые,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аможенные,  валю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ные,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ные       (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ранзи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ные, бондовые, погрузочно-разгрузоч, фрах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ование, аген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ирование)) </w:t>
      </w:r>
    </w:p>
    <w:p w:rsidR="004211B9" w:rsidRPr="008C713E" w:rsidRDefault="004211B9" w:rsidP="008C713E">
      <w:pPr>
        <w:pStyle w:val="23"/>
        <w:tabs>
          <w:tab w:val="left" w:pos="0"/>
          <w:tab w:val="left" w:pos="284"/>
        </w:tabs>
        <w:spacing w:line="360" w:lineRule="auto"/>
        <w:ind w:firstLine="0"/>
        <w:jc w:val="left"/>
        <w:rPr>
          <w:b w:val="0"/>
          <w:bCs w:val="0"/>
        </w:rPr>
      </w:pPr>
      <w:r w:rsidRPr="008C713E">
        <w:rPr>
          <w:b w:val="0"/>
          <w:bCs w:val="0"/>
        </w:rPr>
        <w:t>2. по предме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у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делки:</w:t>
      </w:r>
    </w:p>
    <w:p w:rsidR="004211B9" w:rsidRPr="008C713E" w:rsidRDefault="008C713E" w:rsidP="008C713E">
      <w:pPr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="004211B9" w:rsidRPr="008C713E">
        <w:rPr>
          <w:sz w:val="28"/>
          <w:szCs w:val="28"/>
        </w:rPr>
        <w:t xml:space="preserve">овары и продукция, </w:t>
      </w:r>
    </w:p>
    <w:p w:rsidR="004211B9" w:rsidRPr="008C713E" w:rsidRDefault="008C713E" w:rsidP="008C713E">
      <w:pPr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4211B9" w:rsidRPr="008C713E">
        <w:rPr>
          <w:sz w:val="28"/>
          <w:szCs w:val="28"/>
        </w:rPr>
        <w:t xml:space="preserve">ырье, </w:t>
      </w:r>
    </w:p>
    <w:p w:rsidR="004211B9" w:rsidRPr="008C713E" w:rsidRDefault="004211B9" w:rsidP="008C713E">
      <w:pPr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резуль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ы ин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ул-ной дея-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и, </w:t>
      </w:r>
    </w:p>
    <w:p w:rsidR="004211B9" w:rsidRPr="008C713E" w:rsidRDefault="004211B9" w:rsidP="008C713E">
      <w:pPr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рабо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ы и у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луги </w:t>
      </w:r>
    </w:p>
    <w:p w:rsidR="004211B9" w:rsidRPr="008C713E" w:rsidRDefault="004211B9" w:rsidP="008C713E">
      <w:pPr>
        <w:tabs>
          <w:tab w:val="left" w:pos="0"/>
          <w:tab w:val="left" w:pos="284"/>
        </w:tabs>
        <w:spacing w:line="360" w:lineRule="auto"/>
        <w:rPr>
          <w:sz w:val="28"/>
          <w:szCs w:val="28"/>
        </w:rPr>
      </w:pPr>
      <w:r w:rsidRPr="008C713E">
        <w:rPr>
          <w:sz w:val="28"/>
          <w:szCs w:val="28"/>
        </w:rPr>
        <w:t xml:space="preserve">3.  по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епени      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амо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оя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и:</w:t>
      </w:r>
    </w:p>
    <w:p w:rsidR="004211B9" w:rsidRPr="008C713E" w:rsidRDefault="004211B9" w:rsidP="008C713E">
      <w:pPr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 xml:space="preserve">прямые ,   обменные    (купля-продажа),       </w:t>
      </w:r>
    </w:p>
    <w:p w:rsidR="004211B9" w:rsidRPr="008C713E" w:rsidRDefault="004211B9" w:rsidP="008C713E">
      <w:pPr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по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редниче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кие (коми</w:t>
      </w:r>
      <w:r w:rsidR="008C713E">
        <w:rPr>
          <w:sz w:val="28"/>
          <w:szCs w:val="28"/>
        </w:rPr>
        <w:t>сс</w:t>
      </w:r>
      <w:r w:rsidRPr="008C713E">
        <w:rPr>
          <w:sz w:val="28"/>
          <w:szCs w:val="28"/>
        </w:rPr>
        <w:t>ионные, аген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кие, кон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игнационные, брокер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кие). </w:t>
      </w:r>
    </w:p>
    <w:p w:rsidR="004211B9" w:rsidRPr="008C713E" w:rsidRDefault="004211B9" w:rsidP="008C713E">
      <w:pPr>
        <w:tabs>
          <w:tab w:val="left" w:pos="0"/>
          <w:tab w:val="left" w:pos="284"/>
        </w:tabs>
        <w:spacing w:line="360" w:lineRule="auto"/>
        <w:rPr>
          <w:sz w:val="28"/>
          <w:szCs w:val="28"/>
        </w:rPr>
      </w:pPr>
      <w:r w:rsidRPr="008C713E">
        <w:rPr>
          <w:sz w:val="28"/>
          <w:szCs w:val="28"/>
        </w:rPr>
        <w:t>Кла</w:t>
      </w:r>
      <w:r w:rsidR="008C713E">
        <w:rPr>
          <w:sz w:val="28"/>
          <w:szCs w:val="28"/>
        </w:rPr>
        <w:t>сс</w:t>
      </w:r>
      <w:r w:rsidRPr="008C713E">
        <w:rPr>
          <w:sz w:val="28"/>
          <w:szCs w:val="28"/>
        </w:rPr>
        <w:t xml:space="preserve">ификация  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делок:    </w:t>
      </w:r>
    </w:p>
    <w:p w:rsidR="004211B9" w:rsidRPr="008C713E" w:rsidRDefault="004211B9" w:rsidP="008C713E">
      <w:pPr>
        <w:tabs>
          <w:tab w:val="left" w:pos="0"/>
          <w:tab w:val="left" w:pos="284"/>
        </w:tabs>
        <w:spacing w:line="360" w:lineRule="auto"/>
        <w:rPr>
          <w:sz w:val="28"/>
          <w:szCs w:val="28"/>
        </w:rPr>
      </w:pPr>
      <w:r w:rsidRPr="008C713E">
        <w:rPr>
          <w:sz w:val="28"/>
          <w:szCs w:val="28"/>
        </w:rPr>
        <w:t xml:space="preserve">1.   в  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орговле машинами и оборудованием и у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луг:</w:t>
      </w:r>
    </w:p>
    <w:p w:rsidR="004211B9" w:rsidRPr="008C713E" w:rsidRDefault="004211B9" w:rsidP="008C713E">
      <w:pPr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 xml:space="preserve">подрядные   (инжиниринговые), </w:t>
      </w:r>
    </w:p>
    <w:p w:rsidR="004211B9" w:rsidRPr="008C713E" w:rsidRDefault="004211B9" w:rsidP="008C713E">
      <w:pPr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 xml:space="preserve">арендные   (лизинговые)   </w:t>
      </w:r>
    </w:p>
    <w:p w:rsidR="004211B9" w:rsidRPr="008C713E" w:rsidRDefault="004211B9" w:rsidP="008C713E">
      <w:pPr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 xml:space="preserve">в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орговле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ехнолог и ноу-хау:</w:t>
      </w:r>
    </w:p>
    <w:p w:rsidR="004211B9" w:rsidRPr="008C713E" w:rsidRDefault="004211B9" w:rsidP="008C713E">
      <w:pPr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лицензионные  (чи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ые,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опу</w:t>
      </w:r>
      <w:r w:rsidR="008C713E">
        <w:rPr>
          <w:sz w:val="28"/>
          <w:szCs w:val="28"/>
        </w:rPr>
        <w:t>тст</w:t>
      </w:r>
      <w:r w:rsidRPr="008C713E">
        <w:rPr>
          <w:sz w:val="28"/>
          <w:szCs w:val="28"/>
        </w:rPr>
        <w:t xml:space="preserve">вующие), </w:t>
      </w:r>
    </w:p>
    <w:p w:rsidR="004211B9" w:rsidRPr="008C713E" w:rsidRDefault="004211B9" w:rsidP="008C713E">
      <w:pPr>
        <w:tabs>
          <w:tab w:val="left" w:pos="0"/>
        </w:tabs>
        <w:spacing w:line="360" w:lineRule="auto"/>
        <w:rPr>
          <w:sz w:val="28"/>
          <w:szCs w:val="28"/>
        </w:rPr>
      </w:pPr>
      <w:r w:rsidRPr="008C713E">
        <w:rPr>
          <w:sz w:val="28"/>
          <w:szCs w:val="28"/>
        </w:rPr>
        <w:t>3.    во в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речи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орговле, производ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венной кооперации и научно-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ехниче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ком 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рудниче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ве:   </w:t>
      </w:r>
    </w:p>
    <w:p w:rsidR="004211B9" w:rsidRPr="008C713E" w:rsidRDefault="004211B9" w:rsidP="008C713E">
      <w:pPr>
        <w:numPr>
          <w:ilvl w:val="0"/>
          <w:numId w:val="22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бар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ерные,</w:t>
      </w:r>
    </w:p>
    <w:p w:rsidR="004211B9" w:rsidRPr="008C713E" w:rsidRDefault="004211B9" w:rsidP="008C713E">
      <w:pPr>
        <w:numPr>
          <w:ilvl w:val="0"/>
          <w:numId w:val="22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давальче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кие, </w:t>
      </w:r>
    </w:p>
    <w:p w:rsidR="004211B9" w:rsidRPr="008C713E" w:rsidRDefault="004211B9" w:rsidP="008C713E">
      <w:pPr>
        <w:numPr>
          <w:ilvl w:val="0"/>
          <w:numId w:val="22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8C713E">
        <w:rPr>
          <w:sz w:val="28"/>
          <w:szCs w:val="28"/>
        </w:rPr>
        <w:t>выкуп у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аревшей продукции.</w:t>
      </w:r>
    </w:p>
    <w:p w:rsidR="004211B9" w:rsidRPr="008C713E" w:rsidRDefault="004211B9" w:rsidP="008C713E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pStyle w:val="23"/>
        <w:spacing w:line="360" w:lineRule="auto"/>
        <w:ind w:firstLine="0"/>
        <w:jc w:val="center"/>
      </w:pPr>
      <w:r w:rsidRPr="008C713E">
        <w:t>2. Компен</w:t>
      </w:r>
      <w:r w:rsidR="008C713E" w:rsidRPr="008C713E">
        <w:t>с</w:t>
      </w:r>
      <w:r w:rsidRPr="008C713E">
        <w:t xml:space="preserve">ационные </w:t>
      </w:r>
      <w:r w:rsidR="008C713E" w:rsidRPr="008C713E">
        <w:t>с</w:t>
      </w:r>
      <w:r w:rsidRPr="008C713E">
        <w:t>делки, как форма внешнеэкономиче</w:t>
      </w:r>
      <w:r w:rsidR="008C713E" w:rsidRPr="008C713E">
        <w:t>с</w:t>
      </w:r>
      <w:r w:rsidRPr="008C713E">
        <w:t>кой дея</w:t>
      </w:r>
      <w:r w:rsidR="008C713E" w:rsidRPr="008C713E">
        <w:t>т</w:t>
      </w:r>
      <w:r w:rsidRPr="008C713E">
        <w:t>ельно</w:t>
      </w:r>
      <w:r w:rsidR="008C713E" w:rsidRPr="008C713E">
        <w:t>ст</w:t>
      </w:r>
      <w:r w:rsidRPr="008C713E">
        <w:t>и</w:t>
      </w: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>Компен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ационные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делки о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но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я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 xml:space="preserve">я к разряду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оварообменных, или в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речных. В международной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орговле они в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речаю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>я  в рамках производ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венной кооперации и при Н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рудниче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ве. </w:t>
      </w: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 xml:space="preserve"> Компен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ационные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делки можно пред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ави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ь в виде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лед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хемы: </w:t>
      </w:r>
    </w:p>
    <w:p w:rsidR="004211B9" w:rsidRPr="008C713E" w:rsidRDefault="008C713E" w:rsidP="008C713E">
      <w:pPr>
        <w:pStyle w:val="23"/>
        <w:numPr>
          <w:ilvl w:val="0"/>
          <w:numId w:val="16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Т</w:t>
      </w:r>
      <w:r w:rsidR="004211B9" w:rsidRPr="008C713E">
        <w:rPr>
          <w:b w:val="0"/>
          <w:bCs w:val="0"/>
        </w:rPr>
        <w:t>оварообменные и компен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 xml:space="preserve">ационные 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>делки на безвалю</w:t>
      </w:r>
      <w:r>
        <w:rPr>
          <w:b w:val="0"/>
          <w:bCs w:val="0"/>
        </w:rPr>
        <w:t>т</w:t>
      </w:r>
      <w:r w:rsidR="004211B9" w:rsidRPr="008C713E">
        <w:rPr>
          <w:b w:val="0"/>
          <w:bCs w:val="0"/>
        </w:rPr>
        <w:t>ной о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 xml:space="preserve">нове: </w:t>
      </w:r>
    </w:p>
    <w:p w:rsidR="004211B9" w:rsidRPr="008C713E" w:rsidRDefault="004211B9" w:rsidP="008C713E">
      <w:pPr>
        <w:pStyle w:val="23"/>
        <w:spacing w:line="360" w:lineRule="auto"/>
        <w:ind w:left="709" w:firstLine="0"/>
        <w:rPr>
          <w:b w:val="0"/>
          <w:bCs w:val="0"/>
        </w:rPr>
      </w:pPr>
      <w:r w:rsidRPr="008C713E">
        <w:rPr>
          <w:b w:val="0"/>
          <w:bCs w:val="0"/>
        </w:rPr>
        <w:t xml:space="preserve">а)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делки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 единовременной по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авкой, </w:t>
      </w:r>
    </w:p>
    <w:p w:rsidR="004211B9" w:rsidRPr="008C713E" w:rsidRDefault="004211B9" w:rsidP="008C713E">
      <w:pPr>
        <w:pStyle w:val="23"/>
        <w:spacing w:line="360" w:lineRule="auto"/>
        <w:ind w:left="709" w:firstLine="0"/>
        <w:rPr>
          <w:b w:val="0"/>
          <w:bCs w:val="0"/>
        </w:rPr>
      </w:pPr>
      <w:r w:rsidRPr="008C713E">
        <w:rPr>
          <w:b w:val="0"/>
          <w:bCs w:val="0"/>
        </w:rPr>
        <w:t xml:space="preserve">б)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делки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 дли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ельными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роками и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полнения, предполагаю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 опла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у по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авок в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оварной форме. </w:t>
      </w:r>
    </w:p>
    <w:p w:rsidR="004211B9" w:rsidRPr="008C713E" w:rsidRDefault="004211B9" w:rsidP="008C713E">
      <w:pPr>
        <w:pStyle w:val="23"/>
        <w:numPr>
          <w:ilvl w:val="0"/>
          <w:numId w:val="16"/>
        </w:numPr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>Компен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ационные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делки на коммерче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кой 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нове :</w:t>
      </w:r>
    </w:p>
    <w:p w:rsidR="004211B9" w:rsidRPr="008C713E" w:rsidRDefault="004211B9" w:rsidP="008C713E">
      <w:pPr>
        <w:pStyle w:val="23"/>
        <w:spacing w:line="360" w:lineRule="auto"/>
        <w:ind w:left="709" w:firstLine="0"/>
        <w:rPr>
          <w:b w:val="0"/>
          <w:bCs w:val="0"/>
        </w:rPr>
      </w:pPr>
      <w:r w:rsidRPr="008C713E">
        <w:rPr>
          <w:b w:val="0"/>
          <w:bCs w:val="0"/>
        </w:rPr>
        <w:t>а) кра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ко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рочные компен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ационные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оглашения, </w:t>
      </w: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>б) в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речные закупки</w:t>
      </w: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 xml:space="preserve"> в) аван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овые закупки (заключаю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 xml:space="preserve">я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 оценкой 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оимо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>и. Во в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речных закупках параллельные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делки оформляю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>я не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колькими кон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рак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ами. Аван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 закрепляе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 параллельная в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речная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делка в обра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ном порядке. </w:t>
      </w:r>
    </w:p>
    <w:p w:rsidR="004211B9" w:rsidRPr="008C713E" w:rsidRDefault="004211B9" w:rsidP="008C713E">
      <w:pPr>
        <w:pStyle w:val="23"/>
        <w:numPr>
          <w:ilvl w:val="0"/>
          <w:numId w:val="16"/>
        </w:numPr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>Компен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ационные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делки на 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нове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оглашений о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рудниче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ве. Для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аких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делок харак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ерны крупнома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ш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абные долго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рочные компен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ационные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оглашения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 xml:space="preserve"> обра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ной закупкой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оваров.</w:t>
      </w:r>
    </w:p>
    <w:p w:rsidR="004211B9" w:rsidRPr="008C713E" w:rsidRDefault="008C713E" w:rsidP="008C713E">
      <w:pPr>
        <w:pStyle w:val="23"/>
        <w:numPr>
          <w:ilvl w:val="0"/>
          <w:numId w:val="16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 xml:space="preserve">делки «о разделе продукции», </w:t>
      </w:r>
    </w:p>
    <w:p w:rsidR="004211B9" w:rsidRPr="008C713E" w:rsidRDefault="008C713E" w:rsidP="008C713E">
      <w:pPr>
        <w:pStyle w:val="23"/>
        <w:numPr>
          <w:ilvl w:val="0"/>
          <w:numId w:val="16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>делки «разви</w:t>
      </w:r>
      <w:r>
        <w:rPr>
          <w:b w:val="0"/>
          <w:bCs w:val="0"/>
        </w:rPr>
        <w:t>т</w:t>
      </w:r>
      <w:r w:rsidR="004211B9" w:rsidRPr="008C713E">
        <w:rPr>
          <w:b w:val="0"/>
          <w:bCs w:val="0"/>
        </w:rPr>
        <w:t>ие - импор</w:t>
      </w:r>
      <w:r>
        <w:rPr>
          <w:b w:val="0"/>
          <w:bCs w:val="0"/>
        </w:rPr>
        <w:t>т</w:t>
      </w:r>
      <w:r w:rsidR="004211B9" w:rsidRPr="008C713E">
        <w:rPr>
          <w:b w:val="0"/>
          <w:bCs w:val="0"/>
        </w:rPr>
        <w:t xml:space="preserve">». </w:t>
      </w:r>
    </w:p>
    <w:p w:rsidR="004211B9" w:rsidRPr="008C713E" w:rsidRDefault="008C713E" w:rsidP="008C713E">
      <w:pPr>
        <w:pStyle w:val="23"/>
        <w:spacing w:line="360" w:lineRule="auto"/>
        <w:rPr>
          <w:b w:val="0"/>
          <w:bCs w:val="0"/>
        </w:rPr>
      </w:pPr>
      <w:r>
        <w:rPr>
          <w:b w:val="0"/>
          <w:bCs w:val="0"/>
        </w:rPr>
        <w:t>Т</w:t>
      </w:r>
      <w:r w:rsidR="004211B9" w:rsidRPr="008C713E">
        <w:rPr>
          <w:b w:val="0"/>
          <w:bCs w:val="0"/>
        </w:rPr>
        <w:t>ри по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 xml:space="preserve">ледних вида 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>делок являю</w:t>
      </w:r>
      <w:r>
        <w:rPr>
          <w:b w:val="0"/>
          <w:bCs w:val="0"/>
        </w:rPr>
        <w:t>тс</w:t>
      </w:r>
      <w:r w:rsidR="004211B9" w:rsidRPr="008C713E">
        <w:rPr>
          <w:b w:val="0"/>
          <w:bCs w:val="0"/>
        </w:rPr>
        <w:t>я долго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>рочными; правовой о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 xml:space="preserve">новой </w:t>
      </w:r>
      <w:r>
        <w:rPr>
          <w:b w:val="0"/>
          <w:bCs w:val="0"/>
        </w:rPr>
        <w:t>т</w:t>
      </w:r>
      <w:r w:rsidR="004211B9" w:rsidRPr="008C713E">
        <w:rPr>
          <w:b w:val="0"/>
          <w:bCs w:val="0"/>
        </w:rPr>
        <w:t xml:space="preserve">аких 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>делок являе</w:t>
      </w:r>
      <w:r>
        <w:rPr>
          <w:b w:val="0"/>
          <w:bCs w:val="0"/>
        </w:rPr>
        <w:t>тс</w:t>
      </w:r>
      <w:r w:rsidR="004211B9" w:rsidRPr="008C713E">
        <w:rPr>
          <w:b w:val="0"/>
          <w:bCs w:val="0"/>
        </w:rPr>
        <w:t>я руковод</w:t>
      </w:r>
      <w:r>
        <w:rPr>
          <w:b w:val="0"/>
          <w:bCs w:val="0"/>
        </w:rPr>
        <w:t>ст</w:t>
      </w:r>
      <w:r w:rsidR="004211B9" w:rsidRPr="008C713E">
        <w:rPr>
          <w:b w:val="0"/>
          <w:bCs w:val="0"/>
        </w:rPr>
        <w:t xml:space="preserve">во по 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>о</w:t>
      </w:r>
      <w:r>
        <w:rPr>
          <w:b w:val="0"/>
          <w:bCs w:val="0"/>
        </w:rPr>
        <w:t>ст</w:t>
      </w:r>
      <w:r w:rsidR="004211B9" w:rsidRPr="008C713E">
        <w:rPr>
          <w:b w:val="0"/>
          <w:bCs w:val="0"/>
        </w:rPr>
        <w:t>авлению международных договоров о компен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 xml:space="preserve">ационных </w:t>
      </w:r>
      <w:r>
        <w:rPr>
          <w:b w:val="0"/>
          <w:bCs w:val="0"/>
        </w:rPr>
        <w:t>с</w:t>
      </w:r>
      <w:r w:rsidR="004211B9" w:rsidRPr="008C713E">
        <w:rPr>
          <w:b w:val="0"/>
          <w:bCs w:val="0"/>
        </w:rPr>
        <w:t>делках.</w:t>
      </w:r>
    </w:p>
    <w:p w:rsidR="004211B9" w:rsidRPr="008C713E" w:rsidRDefault="004211B9" w:rsidP="008C713E">
      <w:pPr>
        <w:spacing w:line="360" w:lineRule="auto"/>
        <w:ind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Проблемы и возможно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 при заключении компен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ационных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делок: </w:t>
      </w:r>
    </w:p>
    <w:p w:rsidR="004211B9" w:rsidRPr="008C713E" w:rsidRDefault="004211B9" w:rsidP="008C713E">
      <w:pPr>
        <w:spacing w:line="360" w:lineRule="auto"/>
        <w:ind w:firstLine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По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авщик-эк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ер: </w:t>
      </w:r>
    </w:p>
    <w:p w:rsidR="004211B9" w:rsidRPr="008C713E" w:rsidRDefault="004211B9" w:rsidP="008C713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Благоприя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ные у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ловия погашения креди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ов.</w:t>
      </w:r>
    </w:p>
    <w:p w:rsidR="004211B9" w:rsidRPr="008C713E" w:rsidRDefault="004211B9" w:rsidP="008C713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Возможно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 для ра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ширения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пециализации и кооперации на внешних рынках</w:t>
      </w:r>
    </w:p>
    <w:p w:rsidR="004211B9" w:rsidRPr="008C713E" w:rsidRDefault="004211B9" w:rsidP="008C713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Возможно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пользова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ь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я преимуще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вом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делки в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ечение дли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ельного времени. </w:t>
      </w:r>
    </w:p>
    <w:p w:rsidR="004211B9" w:rsidRPr="008C713E" w:rsidRDefault="004211B9" w:rsidP="008C713E">
      <w:pPr>
        <w:spacing w:line="360" w:lineRule="auto"/>
        <w:jc w:val="both"/>
        <w:rPr>
          <w:sz w:val="28"/>
          <w:szCs w:val="28"/>
        </w:rPr>
      </w:pPr>
      <w:r w:rsidRPr="008C713E">
        <w:rPr>
          <w:sz w:val="28"/>
          <w:szCs w:val="28"/>
        </w:rPr>
        <w:t xml:space="preserve">   </w:t>
      </w:r>
      <w:r w:rsidRPr="008C713E">
        <w:rPr>
          <w:sz w:val="28"/>
          <w:szCs w:val="28"/>
        </w:rPr>
        <w:tab/>
        <w:t xml:space="preserve">Заказчик: </w:t>
      </w:r>
    </w:p>
    <w:p w:rsidR="004211B9" w:rsidRPr="008C713E" w:rsidRDefault="004211B9" w:rsidP="008C713E">
      <w:pPr>
        <w:spacing w:line="360" w:lineRule="auto"/>
        <w:ind w:firstLine="708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1. Можно и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пользова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ь ме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ное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ырье, ма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ериалы и рабочую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илу, закупа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ь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ырье у розничных по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авщиков по выгодным вариан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ам.</w:t>
      </w:r>
    </w:p>
    <w:p w:rsidR="004211B9" w:rsidRPr="008C713E" w:rsidRDefault="004211B9" w:rsidP="008C713E">
      <w:pPr>
        <w:spacing w:line="360" w:lineRule="auto"/>
        <w:ind w:firstLine="708"/>
        <w:jc w:val="both"/>
        <w:rPr>
          <w:sz w:val="28"/>
          <w:szCs w:val="28"/>
        </w:rPr>
      </w:pPr>
      <w:r w:rsidRPr="008C713E">
        <w:rPr>
          <w:sz w:val="28"/>
          <w:szCs w:val="28"/>
        </w:rPr>
        <w:t xml:space="preserve"> 2. Безвалю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ная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и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ема взаимора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че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ов. </w:t>
      </w:r>
    </w:p>
    <w:p w:rsidR="004211B9" w:rsidRPr="008C713E" w:rsidRDefault="004211B9" w:rsidP="008C713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Ра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ширение эк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пор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ного по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енциала. </w:t>
      </w:r>
    </w:p>
    <w:p w:rsidR="004211B9" w:rsidRPr="008C713E" w:rsidRDefault="004211B9" w:rsidP="008C713E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Гаран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ированный рынок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бы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а. </w:t>
      </w:r>
    </w:p>
    <w:p w:rsidR="004211B9" w:rsidRPr="008C713E" w:rsidRDefault="004211B9" w:rsidP="008C713E">
      <w:pPr>
        <w:spacing w:line="360" w:lineRule="auto"/>
        <w:ind w:left="709"/>
        <w:jc w:val="both"/>
        <w:rPr>
          <w:sz w:val="28"/>
          <w:szCs w:val="28"/>
        </w:rPr>
      </w:pPr>
      <w:r w:rsidRPr="008C713E">
        <w:rPr>
          <w:sz w:val="28"/>
          <w:szCs w:val="28"/>
        </w:rPr>
        <w:t xml:space="preserve">5.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окращение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роков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рои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ва и издержек. Возможны ри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ки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 определением 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оимо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и проек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а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 уче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ом инфляции.</w:t>
      </w:r>
    </w:p>
    <w:p w:rsidR="004211B9" w:rsidRPr="008C713E" w:rsidRDefault="004211B9" w:rsidP="008C713E">
      <w:pPr>
        <w:spacing w:line="360" w:lineRule="auto"/>
        <w:jc w:val="both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4211B9" w:rsidRDefault="004211B9" w:rsidP="004211B9">
      <w:pPr>
        <w:pStyle w:val="2"/>
        <w:pageBreakBefore/>
        <w:rPr>
          <w:b/>
          <w:bCs/>
          <w:sz w:val="28"/>
          <w:szCs w:val="28"/>
        </w:rPr>
      </w:pPr>
      <w:r w:rsidRPr="004211B9">
        <w:rPr>
          <w:b/>
          <w:bCs/>
          <w:sz w:val="28"/>
          <w:szCs w:val="28"/>
        </w:rPr>
        <w:t>Заключение</w:t>
      </w:r>
    </w:p>
    <w:p w:rsidR="004211B9" w:rsidRPr="008C713E" w:rsidRDefault="004211B9" w:rsidP="008C713E">
      <w:pPr>
        <w:spacing w:line="360" w:lineRule="auto"/>
        <w:jc w:val="center"/>
        <w:rPr>
          <w:sz w:val="28"/>
          <w:szCs w:val="28"/>
        </w:rPr>
      </w:pPr>
    </w:p>
    <w:p w:rsidR="004211B9" w:rsidRPr="008C713E" w:rsidRDefault="004211B9" w:rsidP="008C713E">
      <w:pPr>
        <w:pStyle w:val="23"/>
        <w:spacing w:line="360" w:lineRule="auto"/>
        <w:rPr>
          <w:b w:val="0"/>
          <w:bCs w:val="0"/>
        </w:rPr>
      </w:pPr>
      <w:r w:rsidRPr="008C713E">
        <w:rPr>
          <w:b w:val="0"/>
          <w:bCs w:val="0"/>
        </w:rPr>
        <w:t>В п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оце</w:t>
      </w:r>
      <w:r w:rsidR="008C713E">
        <w:rPr>
          <w:b w:val="0"/>
          <w:bCs w:val="0"/>
        </w:rPr>
        <w:t>сс</w:t>
      </w:r>
      <w:r w:rsidRPr="008C713E">
        <w:rPr>
          <w:b w:val="0"/>
          <w:bCs w:val="0"/>
        </w:rPr>
        <w:t>е 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уще</w:t>
      </w:r>
      <w:r w:rsidR="008C713E">
        <w:rPr>
          <w:b w:val="0"/>
          <w:bCs w:val="0"/>
        </w:rPr>
        <w:t>ст</w:t>
      </w:r>
      <w:r w:rsidRPr="008C713E">
        <w:rPr>
          <w:b w:val="0"/>
          <w:bCs w:val="0"/>
        </w:rPr>
        <w:t xml:space="preserve">вления 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гово-экономиче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ких, научно-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>ехниче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ких и иных междуна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одных 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вязей между 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ганизациями и фи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 xml:space="preserve">мами 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азличных го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уда</w:t>
      </w:r>
      <w:r w:rsidR="008C713E">
        <w:rPr>
          <w:b w:val="0"/>
          <w:bCs w:val="0"/>
        </w:rPr>
        <w:t>рст</w:t>
      </w:r>
      <w:r w:rsidRPr="008C713E">
        <w:rPr>
          <w:b w:val="0"/>
          <w:bCs w:val="0"/>
        </w:rPr>
        <w:t>в заключае</w:t>
      </w:r>
      <w:r w:rsidR="008C713E">
        <w:rPr>
          <w:b w:val="0"/>
          <w:bCs w:val="0"/>
        </w:rPr>
        <w:t>тс</w:t>
      </w:r>
      <w:r w:rsidRPr="008C713E">
        <w:rPr>
          <w:b w:val="0"/>
          <w:bCs w:val="0"/>
        </w:rPr>
        <w:t>я большое чи</w:t>
      </w:r>
      <w:r w:rsidR="008C713E">
        <w:rPr>
          <w:b w:val="0"/>
          <w:bCs w:val="0"/>
        </w:rPr>
        <w:t>с</w:t>
      </w:r>
      <w:r w:rsidRPr="008C713E">
        <w:rPr>
          <w:b w:val="0"/>
          <w:bCs w:val="0"/>
        </w:rPr>
        <w:t>ло догово</w:t>
      </w:r>
      <w:r w:rsidR="008C713E">
        <w:rPr>
          <w:b w:val="0"/>
          <w:bCs w:val="0"/>
        </w:rPr>
        <w:t>р</w:t>
      </w:r>
      <w:r w:rsidRPr="008C713E">
        <w:rPr>
          <w:b w:val="0"/>
          <w:bCs w:val="0"/>
        </w:rPr>
        <w:t>ов, обычно именуемых кон</w:t>
      </w:r>
      <w:r w:rsidR="008C713E">
        <w:rPr>
          <w:b w:val="0"/>
          <w:bCs w:val="0"/>
        </w:rPr>
        <w:t>тр</w:t>
      </w:r>
      <w:r w:rsidRPr="008C713E">
        <w:rPr>
          <w:b w:val="0"/>
          <w:bCs w:val="0"/>
        </w:rPr>
        <w:t>ак</w:t>
      </w:r>
      <w:r w:rsidR="008C713E">
        <w:rPr>
          <w:b w:val="0"/>
          <w:bCs w:val="0"/>
        </w:rPr>
        <w:t>т</w:t>
      </w:r>
      <w:r w:rsidRPr="008C713E">
        <w:rPr>
          <w:b w:val="0"/>
          <w:bCs w:val="0"/>
        </w:rPr>
        <w:t xml:space="preserve">ами. </w:t>
      </w:r>
    </w:p>
    <w:p w:rsidR="004211B9" w:rsidRPr="008C713E" w:rsidRDefault="004211B9" w:rsidP="008C713E">
      <w:pPr>
        <w:pStyle w:val="21"/>
        <w:rPr>
          <w:b w:val="0"/>
          <w:bCs w:val="0"/>
          <w:sz w:val="28"/>
          <w:szCs w:val="28"/>
        </w:rPr>
      </w:pPr>
      <w:r w:rsidRPr="008C713E">
        <w:rPr>
          <w:b w:val="0"/>
          <w:bCs w:val="0"/>
          <w:sz w:val="28"/>
          <w:szCs w:val="28"/>
        </w:rPr>
        <w:t>О</w:t>
      </w:r>
      <w:r w:rsidR="008C713E">
        <w:rPr>
          <w:b w:val="0"/>
          <w:bCs w:val="0"/>
          <w:sz w:val="28"/>
          <w:szCs w:val="28"/>
        </w:rPr>
        <w:t>с</w:t>
      </w:r>
      <w:r w:rsidRPr="008C713E">
        <w:rPr>
          <w:b w:val="0"/>
          <w:bCs w:val="0"/>
          <w:sz w:val="28"/>
          <w:szCs w:val="28"/>
        </w:rPr>
        <w:t>новной правовой формой эк</w:t>
      </w:r>
      <w:r w:rsidR="008C713E">
        <w:rPr>
          <w:b w:val="0"/>
          <w:bCs w:val="0"/>
          <w:sz w:val="28"/>
          <w:szCs w:val="28"/>
        </w:rPr>
        <w:t>с</w:t>
      </w:r>
      <w:r w:rsidRPr="008C713E">
        <w:rPr>
          <w:b w:val="0"/>
          <w:bCs w:val="0"/>
          <w:sz w:val="28"/>
          <w:szCs w:val="28"/>
        </w:rPr>
        <w:t>пор</w:t>
      </w:r>
      <w:r w:rsidR="008C713E">
        <w:rPr>
          <w:b w:val="0"/>
          <w:bCs w:val="0"/>
          <w:sz w:val="28"/>
          <w:szCs w:val="28"/>
        </w:rPr>
        <w:t>т</w:t>
      </w:r>
      <w:r w:rsidRPr="008C713E">
        <w:rPr>
          <w:b w:val="0"/>
          <w:bCs w:val="0"/>
          <w:sz w:val="28"/>
          <w:szCs w:val="28"/>
        </w:rPr>
        <w:t>но-импор</w:t>
      </w:r>
      <w:r w:rsidR="008C713E">
        <w:rPr>
          <w:b w:val="0"/>
          <w:bCs w:val="0"/>
          <w:sz w:val="28"/>
          <w:szCs w:val="28"/>
        </w:rPr>
        <w:t>т</w:t>
      </w:r>
      <w:r w:rsidRPr="008C713E">
        <w:rPr>
          <w:b w:val="0"/>
          <w:bCs w:val="0"/>
          <w:sz w:val="28"/>
          <w:szCs w:val="28"/>
        </w:rPr>
        <w:t>ных внешнеэкономиче</w:t>
      </w:r>
      <w:r w:rsidR="008C713E">
        <w:rPr>
          <w:b w:val="0"/>
          <w:bCs w:val="0"/>
          <w:sz w:val="28"/>
          <w:szCs w:val="28"/>
        </w:rPr>
        <w:t>с</w:t>
      </w:r>
      <w:r w:rsidRPr="008C713E">
        <w:rPr>
          <w:b w:val="0"/>
          <w:bCs w:val="0"/>
          <w:sz w:val="28"/>
          <w:szCs w:val="28"/>
        </w:rPr>
        <w:t>ких операций в Украине являе</w:t>
      </w:r>
      <w:r w:rsidR="008C713E">
        <w:rPr>
          <w:b w:val="0"/>
          <w:bCs w:val="0"/>
          <w:sz w:val="28"/>
          <w:szCs w:val="28"/>
        </w:rPr>
        <w:t>тс</w:t>
      </w:r>
      <w:r w:rsidRPr="008C713E">
        <w:rPr>
          <w:b w:val="0"/>
          <w:bCs w:val="0"/>
          <w:sz w:val="28"/>
          <w:szCs w:val="28"/>
        </w:rPr>
        <w:t>я внешне</w:t>
      </w:r>
      <w:r w:rsidR="008C713E">
        <w:rPr>
          <w:b w:val="0"/>
          <w:bCs w:val="0"/>
          <w:sz w:val="28"/>
          <w:szCs w:val="28"/>
        </w:rPr>
        <w:t>т</w:t>
      </w:r>
      <w:r w:rsidRPr="008C713E">
        <w:rPr>
          <w:b w:val="0"/>
          <w:bCs w:val="0"/>
          <w:sz w:val="28"/>
          <w:szCs w:val="28"/>
        </w:rPr>
        <w:t>орговый договор (кон</w:t>
      </w:r>
      <w:r w:rsidR="008C713E">
        <w:rPr>
          <w:b w:val="0"/>
          <w:bCs w:val="0"/>
          <w:sz w:val="28"/>
          <w:szCs w:val="28"/>
        </w:rPr>
        <w:t>т</w:t>
      </w:r>
      <w:r w:rsidRPr="008C713E">
        <w:rPr>
          <w:b w:val="0"/>
          <w:bCs w:val="0"/>
          <w:sz w:val="28"/>
          <w:szCs w:val="28"/>
        </w:rPr>
        <w:t>рак</w:t>
      </w:r>
      <w:r w:rsidR="008C713E">
        <w:rPr>
          <w:b w:val="0"/>
          <w:bCs w:val="0"/>
          <w:sz w:val="28"/>
          <w:szCs w:val="28"/>
        </w:rPr>
        <w:t>т</w:t>
      </w:r>
      <w:r w:rsidRPr="008C713E">
        <w:rPr>
          <w:b w:val="0"/>
          <w:bCs w:val="0"/>
          <w:sz w:val="28"/>
          <w:szCs w:val="28"/>
        </w:rPr>
        <w:t xml:space="preserve">). </w:t>
      </w:r>
    </w:p>
    <w:p w:rsidR="004211B9" w:rsidRPr="008C713E" w:rsidRDefault="004211B9" w:rsidP="008C713E">
      <w:pPr>
        <w:spacing w:line="360" w:lineRule="auto"/>
        <w:ind w:firstLine="708"/>
        <w:jc w:val="both"/>
        <w:rPr>
          <w:sz w:val="28"/>
          <w:szCs w:val="28"/>
        </w:rPr>
      </w:pPr>
      <w:r w:rsidRPr="008C713E">
        <w:rPr>
          <w:sz w:val="28"/>
          <w:szCs w:val="28"/>
        </w:rPr>
        <w:t>Одним из наиболее ра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про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раненных видов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делок международной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орговли являю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-компен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ационные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делки 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но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ящие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я к разряду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оварообменных, или в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речных. В международной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орговле они в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речаю</w:t>
      </w:r>
      <w:r w:rsidR="008C713E">
        <w:rPr>
          <w:sz w:val="28"/>
          <w:szCs w:val="28"/>
        </w:rPr>
        <w:t>тс</w:t>
      </w:r>
      <w:r w:rsidRPr="008C713E">
        <w:rPr>
          <w:sz w:val="28"/>
          <w:szCs w:val="28"/>
        </w:rPr>
        <w:t>я  в рамках производ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венной кооперации и при 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 xml:space="preserve"> 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о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рудниче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 xml:space="preserve">ве. </w:t>
      </w: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jc w:val="center"/>
        <w:rPr>
          <w:sz w:val="28"/>
          <w:szCs w:val="28"/>
        </w:rPr>
      </w:pPr>
    </w:p>
    <w:p w:rsidR="004211B9" w:rsidRPr="008C713E" w:rsidRDefault="004211B9" w:rsidP="008C713E">
      <w:pPr>
        <w:spacing w:line="360" w:lineRule="auto"/>
        <w:jc w:val="center"/>
        <w:rPr>
          <w:sz w:val="28"/>
          <w:szCs w:val="28"/>
        </w:rPr>
      </w:pPr>
    </w:p>
    <w:p w:rsidR="004211B9" w:rsidRPr="008C713E" w:rsidRDefault="004211B9" w:rsidP="004211B9">
      <w:pPr>
        <w:pageBreakBefore/>
        <w:spacing w:line="360" w:lineRule="auto"/>
        <w:jc w:val="center"/>
        <w:rPr>
          <w:sz w:val="28"/>
          <w:szCs w:val="28"/>
        </w:rPr>
      </w:pPr>
      <w:r w:rsidRPr="008C713E">
        <w:rPr>
          <w:sz w:val="28"/>
          <w:szCs w:val="28"/>
        </w:rPr>
        <w:t>Ли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ера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ура</w:t>
      </w:r>
    </w:p>
    <w:p w:rsidR="004211B9" w:rsidRDefault="004211B9" w:rsidP="008C713E">
      <w:pPr>
        <w:pStyle w:val="a3"/>
        <w:spacing w:line="360" w:lineRule="auto"/>
        <w:rPr>
          <w:sz w:val="28"/>
          <w:szCs w:val="28"/>
        </w:rPr>
      </w:pPr>
    </w:p>
    <w:p w:rsidR="004211B9" w:rsidRPr="008C713E" w:rsidRDefault="004211B9" w:rsidP="008C713E">
      <w:pPr>
        <w:pStyle w:val="a3"/>
        <w:spacing w:line="360" w:lineRule="auto"/>
        <w:rPr>
          <w:sz w:val="28"/>
          <w:szCs w:val="28"/>
        </w:rPr>
      </w:pPr>
      <w:r w:rsidRPr="008C713E">
        <w:rPr>
          <w:sz w:val="28"/>
          <w:szCs w:val="28"/>
        </w:rPr>
        <w:t>1. Му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 xml:space="preserve">ин В.Е. Международные 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орговые кон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рак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ы. - К: «Либра»,1994</w:t>
      </w:r>
    </w:p>
    <w:p w:rsidR="004211B9" w:rsidRPr="008C713E" w:rsidRDefault="004211B9" w:rsidP="008C713E">
      <w:pPr>
        <w:pStyle w:val="a3"/>
        <w:spacing w:line="360" w:lineRule="auto"/>
        <w:rPr>
          <w:sz w:val="28"/>
          <w:szCs w:val="28"/>
        </w:rPr>
      </w:pPr>
      <w:r w:rsidRPr="008C713E">
        <w:rPr>
          <w:sz w:val="28"/>
          <w:szCs w:val="28"/>
        </w:rPr>
        <w:t>2.Новиков А.В. Внешнеэкономиче</w:t>
      </w:r>
      <w:r w:rsidR="008C713E">
        <w:rPr>
          <w:sz w:val="28"/>
          <w:szCs w:val="28"/>
        </w:rPr>
        <w:t>с</w:t>
      </w:r>
      <w:r w:rsidRPr="008C713E">
        <w:rPr>
          <w:sz w:val="28"/>
          <w:szCs w:val="28"/>
        </w:rPr>
        <w:t>кая дея</w:t>
      </w:r>
      <w:r w:rsidR="008C713E">
        <w:rPr>
          <w:sz w:val="28"/>
          <w:szCs w:val="28"/>
        </w:rPr>
        <w:t>т</w:t>
      </w:r>
      <w:r w:rsidRPr="008C713E">
        <w:rPr>
          <w:sz w:val="28"/>
          <w:szCs w:val="28"/>
        </w:rPr>
        <w:t>ельно</w:t>
      </w:r>
      <w:r w:rsidR="008C713E">
        <w:rPr>
          <w:sz w:val="28"/>
          <w:szCs w:val="28"/>
        </w:rPr>
        <w:t>ст</w:t>
      </w:r>
      <w:r w:rsidRPr="008C713E">
        <w:rPr>
          <w:sz w:val="28"/>
          <w:szCs w:val="28"/>
        </w:rPr>
        <w:t>ь –К: «Знання»,1996</w:t>
      </w:r>
      <w:bookmarkStart w:id="0" w:name="_GoBack"/>
      <w:bookmarkEnd w:id="0"/>
    </w:p>
    <w:sectPr w:rsidR="004211B9" w:rsidRPr="008C713E">
      <w:headerReference w:type="default" r:id="rId7"/>
      <w:headerReference w:type="first" r:id="rId8"/>
      <w:pgSz w:w="11906" w:h="16838"/>
      <w:pgMar w:top="993" w:right="991" w:bottom="1134" w:left="1276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15" w:rsidRDefault="00877115">
      <w:r>
        <w:separator/>
      </w:r>
    </w:p>
  </w:endnote>
  <w:endnote w:type="continuationSeparator" w:id="0">
    <w:p w:rsidR="00877115" w:rsidRDefault="0087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15" w:rsidRDefault="00877115">
      <w:r>
        <w:separator/>
      </w:r>
    </w:p>
  </w:footnote>
  <w:footnote w:type="continuationSeparator" w:id="0">
    <w:p w:rsidR="00877115" w:rsidRDefault="0087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B9" w:rsidRDefault="003A1712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4211B9" w:rsidRDefault="004211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B9" w:rsidRPr="008C713E" w:rsidRDefault="004211B9" w:rsidP="008C71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2EC"/>
    <w:multiLevelType w:val="singleLevel"/>
    <w:tmpl w:val="94C607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5A53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CF7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925808"/>
    <w:multiLevelType w:val="singleLevel"/>
    <w:tmpl w:val="FE5A6F62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693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FB11DE"/>
    <w:multiLevelType w:val="singleLevel"/>
    <w:tmpl w:val="41DE647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073013A"/>
    <w:multiLevelType w:val="hybridMultilevel"/>
    <w:tmpl w:val="855C92C0"/>
    <w:lvl w:ilvl="0" w:tplc="5A18E3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AB6061"/>
    <w:multiLevelType w:val="singleLevel"/>
    <w:tmpl w:val="570240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A5D3005"/>
    <w:multiLevelType w:val="hybridMultilevel"/>
    <w:tmpl w:val="7BEC9DA8"/>
    <w:lvl w:ilvl="0" w:tplc="F6BE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1FE63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2A1679A"/>
    <w:multiLevelType w:val="hybridMultilevel"/>
    <w:tmpl w:val="8140F882"/>
    <w:lvl w:ilvl="0" w:tplc="5A18E3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DE1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195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CE6F8F"/>
    <w:multiLevelType w:val="hybridMultilevel"/>
    <w:tmpl w:val="20442548"/>
    <w:lvl w:ilvl="0" w:tplc="5A18E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cs="Wingdings" w:hint="default"/>
      </w:rPr>
    </w:lvl>
  </w:abstractNum>
  <w:abstractNum w:abstractNumId="14">
    <w:nsid w:val="503544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E4781D"/>
    <w:multiLevelType w:val="hybridMultilevel"/>
    <w:tmpl w:val="6B02AE78"/>
    <w:lvl w:ilvl="0" w:tplc="5A18E3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AD7832"/>
    <w:multiLevelType w:val="hybridMultilevel"/>
    <w:tmpl w:val="DB4EDCC2"/>
    <w:lvl w:ilvl="0" w:tplc="5D3A02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A575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1866F82"/>
    <w:multiLevelType w:val="hybridMultilevel"/>
    <w:tmpl w:val="55FC0FD8"/>
    <w:lvl w:ilvl="0" w:tplc="5A18E34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B45D43"/>
    <w:multiLevelType w:val="singleLevel"/>
    <w:tmpl w:val="31922C28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0">
    <w:nsid w:val="72E51E7E"/>
    <w:multiLevelType w:val="singleLevel"/>
    <w:tmpl w:val="570240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</w:rPr>
    </w:lvl>
  </w:abstractNum>
  <w:abstractNum w:abstractNumId="21">
    <w:nsid w:val="7F400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9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14"/>
  </w:num>
  <w:num w:numId="10">
    <w:abstractNumId w:val="5"/>
  </w:num>
  <w:num w:numId="11">
    <w:abstractNumId w:val="21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8"/>
  </w:num>
  <w:num w:numId="17">
    <w:abstractNumId w:val="16"/>
  </w:num>
  <w:num w:numId="18">
    <w:abstractNumId w:val="10"/>
  </w:num>
  <w:num w:numId="19">
    <w:abstractNumId w:val="13"/>
  </w:num>
  <w:num w:numId="20">
    <w:abstractNumId w:val="15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13E"/>
    <w:rsid w:val="003A1712"/>
    <w:rsid w:val="004211B9"/>
    <w:rsid w:val="00877115"/>
    <w:rsid w:val="008C713E"/>
    <w:rsid w:val="00914EC7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A8AA4B-9EFC-4C4C-9EE3-8DBA511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right="43" w:firstLine="70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pPr>
      <w:ind w:left="284" w:firstLine="283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8"/>
      <w:jc w:val="both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ind w:right="43" w:firstLine="709"/>
      <w:jc w:val="both"/>
    </w:pPr>
    <w:rPr>
      <w:b/>
      <w:bCs/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CRISE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WS003</dc:creator>
  <cp:keywords/>
  <dc:description/>
  <cp:lastModifiedBy>admin</cp:lastModifiedBy>
  <cp:revision>2</cp:revision>
  <dcterms:created xsi:type="dcterms:W3CDTF">2014-02-23T08:51:00Z</dcterms:created>
  <dcterms:modified xsi:type="dcterms:W3CDTF">2014-02-23T08:51:00Z</dcterms:modified>
</cp:coreProperties>
</file>