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8A" w:rsidRPr="00ED344F" w:rsidRDefault="00431A8A" w:rsidP="00431A8A">
      <w:pPr>
        <w:spacing w:before="120"/>
        <w:jc w:val="center"/>
        <w:rPr>
          <w:b/>
          <w:bCs/>
          <w:sz w:val="32"/>
          <w:szCs w:val="32"/>
        </w:rPr>
      </w:pPr>
      <w:r w:rsidRPr="00ED344F">
        <w:rPr>
          <w:b/>
          <w:bCs/>
          <w:sz w:val="32"/>
          <w:szCs w:val="32"/>
        </w:rPr>
        <w:t>Конкурентная среда: пример компетентной и эффективной оценки</w:t>
      </w:r>
    </w:p>
    <w:p w:rsidR="00431A8A" w:rsidRPr="00ED344F" w:rsidRDefault="00431A8A" w:rsidP="00431A8A">
      <w:pPr>
        <w:spacing w:before="120"/>
        <w:jc w:val="center"/>
        <w:rPr>
          <w:sz w:val="28"/>
          <w:szCs w:val="28"/>
        </w:rPr>
      </w:pPr>
      <w:r w:rsidRPr="00ED344F">
        <w:rPr>
          <w:sz w:val="28"/>
          <w:szCs w:val="28"/>
        </w:rPr>
        <w:t>И.Г. Комиссинская</w:t>
      </w:r>
    </w:p>
    <w:p w:rsidR="00431A8A" w:rsidRPr="00ED344F" w:rsidRDefault="00431A8A" w:rsidP="00431A8A">
      <w:pPr>
        <w:spacing w:before="120"/>
        <w:ind w:firstLine="567"/>
        <w:jc w:val="both"/>
      </w:pPr>
      <w:r w:rsidRPr="00856B63">
        <w:t>Отличительной особенностью современного этапа развития отечественного фармрынка является значительный рост потребления дженериков, чему способствует повышение доверия к ним со стороны медицинских и фармацевтических специалистов и пациентов. Указанное обстоятельство обусловливает определенное ассортиментное многообразие, неизбежно приводящее к усилению конкуренции. Как следствие, проблема успешности конкурентной борьбы внутри кластеров различных торговых наименований и лекарственных форм одной субстанции, зарегистрированной ВОЗ под международным непатентованным наименованием (МНН), стоит сегодня особенно остро для всех участников товаропроводящей системы фармацевтического рынка — и для производителей, и для дистрибьюторов, и для аптечных организаций. Ключевым слагаемым успеха в сложившейся ситуации является проведение компетентной и эффективной оценки конкурентной среды как основополагающего этапа в общей системе маркетинговых мероприятий.</w:t>
      </w:r>
    </w:p>
    <w:p w:rsidR="00431A8A" w:rsidRPr="00ED344F" w:rsidRDefault="00431A8A" w:rsidP="00431A8A">
      <w:pPr>
        <w:spacing w:before="120"/>
        <w:jc w:val="center"/>
        <w:rPr>
          <w:b/>
          <w:bCs/>
          <w:sz w:val="28"/>
          <w:szCs w:val="28"/>
        </w:rPr>
      </w:pPr>
      <w:r w:rsidRPr="00ED344F">
        <w:rPr>
          <w:b/>
          <w:bCs/>
          <w:sz w:val="28"/>
          <w:szCs w:val="28"/>
        </w:rPr>
        <w:t>Процесс исследования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1. Цели и объекты. Для разработки методических подходов к осуществлению этой оценки нами проведено маркетинговое исследование, основные задачи которого заключались в получении адекватной сравнительной характеристики рыночной ситуации, отражающей позиции фирм-конкурентов, выпускающих синонимы, и тип конкурентной структуры, сложившейся на территориальном фармацевтическом рынке. Исследования проводились на примере различных торговых наименований нестероидного противовоспалительного средства кеторолак.</w:t>
      </w:r>
    </w:p>
    <w:p w:rsidR="00431A8A" w:rsidRDefault="00431A8A" w:rsidP="00431A8A">
      <w:pPr>
        <w:spacing w:before="120"/>
        <w:ind w:firstLine="567"/>
        <w:jc w:val="both"/>
      </w:pPr>
      <w:r w:rsidRPr="00856B63">
        <w:t>2. Параметры и границы. Для воплощения дизайна исследования были определены следующие параметры:</w:t>
      </w:r>
      <w:r>
        <w:t xml:space="preserve"> </w:t>
      </w:r>
    </w:p>
    <w:p w:rsidR="00431A8A" w:rsidRDefault="00431A8A" w:rsidP="00431A8A">
      <w:pPr>
        <w:spacing w:before="120"/>
        <w:ind w:firstLine="567"/>
        <w:jc w:val="both"/>
      </w:pPr>
      <w:r w:rsidRPr="00856B63">
        <w:t>товарные и географические границы рынков;</w:t>
      </w:r>
      <w:r>
        <w:t xml:space="preserve"> </w:t>
      </w:r>
    </w:p>
    <w:p w:rsidR="00431A8A" w:rsidRDefault="00431A8A" w:rsidP="00431A8A">
      <w:pPr>
        <w:spacing w:before="120"/>
        <w:ind w:firstLine="567"/>
        <w:jc w:val="both"/>
      </w:pPr>
      <w:r w:rsidRPr="00856B63">
        <w:t>состав компаний-производителей и ассортиментная структура предложения товара; емкость рынка и доли компаний;</w:t>
      </w:r>
      <w:r>
        <w:t xml:space="preserve"> 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состояние конкурентной среды. Оценка конкурентной среды производилась для территориальных фармацевтических рынков двух субъектов ЦФО (субъект X и субъект Y), имеющих общую географическую границу и сопоставимые показатели численности населения, заболеваемости и болезненности. 3. Методология. Получение маркетинговой информации осуществлялось методом анкетирования аптечных учреждений. Композиция анкеты включала совокупность показателей, характеризующих в ассортиментном, количественном и стоимостном выражении сведения о товарных остатках и движении (истории закупок и продаж) различных торговых наименований кеторолака за 6 месяцев 2005 г. (табл. 3).</w:t>
      </w:r>
    </w:p>
    <w:p w:rsidR="00431A8A" w:rsidRPr="00ED344F" w:rsidRDefault="00431A8A" w:rsidP="00431A8A">
      <w:pPr>
        <w:spacing w:before="120"/>
        <w:jc w:val="center"/>
        <w:rPr>
          <w:b/>
          <w:bCs/>
          <w:sz w:val="28"/>
          <w:szCs w:val="28"/>
        </w:rPr>
      </w:pPr>
      <w:r w:rsidRPr="00ED344F">
        <w:rPr>
          <w:b/>
          <w:bCs/>
          <w:sz w:val="28"/>
          <w:szCs w:val="28"/>
        </w:rPr>
        <w:t>Результаты исследования</w:t>
      </w:r>
    </w:p>
    <w:p w:rsidR="00431A8A" w:rsidRDefault="00431A8A" w:rsidP="00431A8A">
      <w:pPr>
        <w:spacing w:before="120"/>
        <w:ind w:firstLine="567"/>
        <w:jc w:val="both"/>
      </w:pPr>
      <w:r w:rsidRPr="00856B63">
        <w:t>1. Состав производителей и ассортиментная структура. В результате проведенного исследования установлено, что ассортиментная структура кеторолака на двух территориальных фармацевтических рынках представлена пятью торговыми наименованиями из десяти возможных. Среди таблетированных лекарственных форм присутствуют:</w:t>
      </w:r>
      <w:r>
        <w:t xml:space="preserve"> </w:t>
      </w:r>
    </w:p>
    <w:p w:rsidR="00431A8A" w:rsidRDefault="00431A8A" w:rsidP="00431A8A">
      <w:pPr>
        <w:spacing w:before="120"/>
        <w:ind w:firstLine="567"/>
        <w:jc w:val="both"/>
      </w:pPr>
      <w:r w:rsidRPr="00856B63">
        <w:t>Кеторол (табл. 10 мг №20, «Д-р Ред-ди'с Лабораторис Лтд», Индия);</w:t>
      </w:r>
      <w:r>
        <w:t xml:space="preserve"> 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Кетанов (табл. 10 мг №100, «Ранбак-си», Индия).</w:t>
      </w:r>
    </w:p>
    <w:p w:rsidR="00431A8A" w:rsidRDefault="00431A8A" w:rsidP="00431A8A">
      <w:pPr>
        <w:spacing w:before="120"/>
        <w:ind w:firstLine="567"/>
        <w:jc w:val="both"/>
      </w:pPr>
      <w:r w:rsidRPr="00856B63">
        <w:t>Среди ампулированных ЛФ фигурируют:</w:t>
      </w:r>
      <w:r>
        <w:t xml:space="preserve"> </w:t>
      </w:r>
    </w:p>
    <w:p w:rsidR="00431A8A" w:rsidRDefault="00431A8A" w:rsidP="00431A8A">
      <w:pPr>
        <w:spacing w:before="120"/>
        <w:ind w:firstLine="567"/>
        <w:jc w:val="both"/>
      </w:pPr>
      <w:r w:rsidRPr="00856B63">
        <w:t>Кеторол (р-р 30 мг/мл №10, «Д-р Редди'с Лабораторис Лтд», Индия);</w:t>
      </w:r>
      <w:r>
        <w:t xml:space="preserve"> </w:t>
      </w:r>
    </w:p>
    <w:p w:rsidR="00431A8A" w:rsidRDefault="00431A8A" w:rsidP="00431A8A">
      <w:pPr>
        <w:spacing w:before="120"/>
        <w:ind w:firstLine="567"/>
        <w:jc w:val="both"/>
      </w:pPr>
      <w:r w:rsidRPr="00856B63">
        <w:t>Кеторолак (р-р 30 мг/мл №10, «Синтез АКО ОАО», РФ);</w:t>
      </w:r>
      <w:r>
        <w:t xml:space="preserve"> 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Долак (р-р 30 мг/мл №10, «Кадила Фармасьютикал», Индия).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ТАБЛИЦА 1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ОБЩИЕ ТОВАРНЫЕ ОСТАТКИ И ДВИЖЕНИЕ КЕТОРОЛАКА В СУБЪЕКТАХ Х И У</w:t>
      </w:r>
    </w:p>
    <w:tbl>
      <w:tblPr>
        <w:tblW w:w="500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2"/>
        <w:gridCol w:w="2317"/>
        <w:gridCol w:w="2649"/>
      </w:tblGrid>
      <w:tr w:rsidR="00431A8A" w:rsidRPr="00856B63" w:rsidTr="002C417B">
        <w:trPr>
          <w:trHeight w:val="518"/>
        </w:trPr>
        <w:tc>
          <w:tcPr>
            <w:tcW w:w="244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Параметры товародвижения</w:t>
            </w:r>
          </w:p>
        </w:tc>
        <w:tc>
          <w:tcPr>
            <w:tcW w:w="119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кол-во (Уп.)</w:t>
            </w:r>
          </w:p>
        </w:tc>
        <w:tc>
          <w:tcPr>
            <w:tcW w:w="1363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стоимость</w:t>
            </w:r>
          </w:p>
          <w:p w:rsidR="00431A8A" w:rsidRPr="00856B63" w:rsidRDefault="00431A8A" w:rsidP="002C417B">
            <w:pPr>
              <w:jc w:val="both"/>
            </w:pPr>
            <w:r w:rsidRPr="00856B63">
              <w:t>(руб.)</w:t>
            </w:r>
          </w:p>
        </w:tc>
      </w:tr>
      <w:tr w:rsidR="00431A8A" w:rsidRPr="00856B63" w:rsidTr="002C417B">
        <w:trPr>
          <w:trHeight w:val="221"/>
        </w:trPr>
        <w:tc>
          <w:tcPr>
            <w:tcW w:w="24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Остаток на 01.01.05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267,8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—</w:t>
            </w:r>
          </w:p>
        </w:tc>
      </w:tr>
      <w:tr w:rsidR="00431A8A" w:rsidRPr="00856B63" w:rsidTr="002C417B">
        <w:trPr>
          <w:trHeight w:val="221"/>
        </w:trPr>
        <w:tc>
          <w:tcPr>
            <w:tcW w:w="24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Закупки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5112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380256,28</w:t>
            </w:r>
          </w:p>
        </w:tc>
      </w:tr>
      <w:tr w:rsidR="00431A8A" w:rsidRPr="00856B63" w:rsidTr="002C417B">
        <w:trPr>
          <w:trHeight w:val="211"/>
        </w:trPr>
        <w:tc>
          <w:tcPr>
            <w:tcW w:w="244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Продажи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4863,1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—</w:t>
            </w:r>
          </w:p>
        </w:tc>
      </w:tr>
      <w:tr w:rsidR="00431A8A" w:rsidRPr="00856B63" w:rsidTr="002C417B">
        <w:trPr>
          <w:trHeight w:val="288"/>
        </w:trPr>
        <w:tc>
          <w:tcPr>
            <w:tcW w:w="244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Остаток на 01.07.05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516,7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—</w:t>
            </w:r>
          </w:p>
        </w:tc>
      </w:tr>
    </w:tbl>
    <w:p w:rsidR="00431A8A" w:rsidRPr="00856B63" w:rsidRDefault="00431A8A" w:rsidP="00431A8A">
      <w:pPr>
        <w:spacing w:before="120"/>
        <w:ind w:firstLine="567"/>
        <w:jc w:val="both"/>
      </w:pPr>
      <w:r w:rsidRPr="00856B63">
        <w:t>ТАБЛИЦА 2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ПОКАЗАТЕЛИ ТИПА КОНКУРЕНТНОЙ СТРУКТУРЫ СУБЪЕКТОВ Х И У</w:t>
      </w:r>
    </w:p>
    <w:tbl>
      <w:tblPr>
        <w:tblW w:w="343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7"/>
        <w:gridCol w:w="1563"/>
        <w:gridCol w:w="1867"/>
      </w:tblGrid>
      <w:tr w:rsidR="00431A8A" w:rsidRPr="00856B63" w:rsidTr="002C417B">
        <w:trPr>
          <w:trHeight w:val="250"/>
        </w:trPr>
        <w:tc>
          <w:tcPr>
            <w:tcW w:w="242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Единица измерения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Субъект X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СубъектУ</w:t>
            </w:r>
          </w:p>
        </w:tc>
      </w:tr>
      <w:tr w:rsidR="00431A8A" w:rsidRPr="00856B63" w:rsidTr="002C417B">
        <w:trPr>
          <w:trHeight w:val="298"/>
        </w:trPr>
        <w:tc>
          <w:tcPr>
            <w:tcW w:w="360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КОЭФФИЦИЕНТ КОНЦЕНТРАЦИИ РЫНКА CR (3)</w:t>
            </w:r>
          </w:p>
        </w:tc>
        <w:tc>
          <w:tcPr>
            <w:tcW w:w="14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</w:p>
        </w:tc>
      </w:tr>
      <w:tr w:rsidR="00431A8A" w:rsidRPr="00856B63" w:rsidTr="002C417B">
        <w:trPr>
          <w:trHeight w:val="288"/>
        </w:trPr>
        <w:tc>
          <w:tcPr>
            <w:tcW w:w="24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Натуральное (грамм ДВ)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95,20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100</w:t>
            </w:r>
          </w:p>
        </w:tc>
      </w:tr>
      <w:tr w:rsidR="00431A8A" w:rsidRPr="00856B63" w:rsidTr="002C417B">
        <w:trPr>
          <w:trHeight w:val="298"/>
        </w:trPr>
        <w:tc>
          <w:tcPr>
            <w:tcW w:w="24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Стоимостное (сумма в руб.)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94,90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100</w:t>
            </w:r>
          </w:p>
        </w:tc>
      </w:tr>
      <w:tr w:rsidR="00431A8A" w:rsidRPr="00856B63" w:rsidTr="002C417B">
        <w:trPr>
          <w:trHeight w:val="298"/>
        </w:trPr>
        <w:tc>
          <w:tcPr>
            <w:tcW w:w="50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ИНДЕКС ГИРШМАНА — ГЕРФИНДАЛЯ (HHI)</w:t>
            </w:r>
          </w:p>
        </w:tc>
      </w:tr>
      <w:tr w:rsidR="00431A8A" w:rsidRPr="00856B63" w:rsidTr="002C417B">
        <w:trPr>
          <w:trHeight w:val="288"/>
        </w:trPr>
        <w:tc>
          <w:tcPr>
            <w:tcW w:w="242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Натуральное (грамм ДВ)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6252,65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4418,00</w:t>
            </w:r>
          </w:p>
        </w:tc>
      </w:tr>
      <w:tr w:rsidR="00431A8A" w:rsidRPr="00856B63" w:rsidTr="002C417B">
        <w:trPr>
          <w:trHeight w:val="288"/>
        </w:trPr>
        <w:tc>
          <w:tcPr>
            <w:tcW w:w="2428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Стоимостное (сумма в руб.)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6375,81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3663,54</w:t>
            </w:r>
          </w:p>
        </w:tc>
      </w:tr>
    </w:tbl>
    <w:p w:rsidR="00431A8A" w:rsidRPr="00856B63" w:rsidRDefault="00431A8A" w:rsidP="00431A8A">
      <w:pPr>
        <w:jc w:val="both"/>
      </w:pPr>
      <w:r w:rsidRPr="00856B63">
        <w:t>ТАБЛИЦА 3</w:t>
      </w:r>
      <w:r>
        <w:t xml:space="preserve"> </w:t>
      </w:r>
    </w:p>
    <w:p w:rsidR="00431A8A" w:rsidRPr="00856B63" w:rsidRDefault="00431A8A" w:rsidP="00431A8A">
      <w:pPr>
        <w:jc w:val="both"/>
      </w:pPr>
      <w:r w:rsidRPr="00856B63">
        <w:t>АНКЕТА</w:t>
      </w:r>
    </w:p>
    <w:tbl>
      <w:tblPr>
        <w:tblW w:w="5123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"/>
        <w:gridCol w:w="641"/>
        <w:gridCol w:w="1589"/>
        <w:gridCol w:w="920"/>
        <w:gridCol w:w="560"/>
        <w:gridCol w:w="595"/>
        <w:gridCol w:w="1235"/>
        <w:gridCol w:w="1236"/>
        <w:gridCol w:w="587"/>
        <w:gridCol w:w="1369"/>
        <w:gridCol w:w="920"/>
      </w:tblGrid>
      <w:tr w:rsidR="00431A8A" w:rsidRPr="00856B63" w:rsidTr="002C417B">
        <w:trPr>
          <w:trHeight w:val="336"/>
        </w:trPr>
        <w:tc>
          <w:tcPr>
            <w:tcW w:w="155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№</w:t>
            </w:r>
          </w:p>
        </w:tc>
        <w:tc>
          <w:tcPr>
            <w:tcW w:w="111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Наименование ЛС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2802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Сведения о продвижении ЛС</w:t>
            </w:r>
          </w:p>
        </w:tc>
        <w:tc>
          <w:tcPr>
            <w:tcW w:w="46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</w:p>
        </w:tc>
      </w:tr>
      <w:tr w:rsidR="00431A8A" w:rsidRPr="00856B63" w:rsidTr="002C417B">
        <w:trPr>
          <w:trHeight w:val="240"/>
        </w:trPr>
        <w:tc>
          <w:tcPr>
            <w:tcW w:w="155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  <w:p w:rsidR="00431A8A" w:rsidRPr="00856B63" w:rsidRDefault="00431A8A" w:rsidP="002C417B">
            <w:pPr>
              <w:jc w:val="both"/>
            </w:pPr>
          </w:p>
        </w:tc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МНН</w:t>
            </w:r>
          </w:p>
        </w:tc>
        <w:tc>
          <w:tcPr>
            <w:tcW w:w="7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Торговое предприятие (изготовитель)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Остаток на 01.01.05 г.</w:t>
            </w:r>
          </w:p>
        </w:tc>
        <w:tc>
          <w:tcPr>
            <w:tcW w:w="12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Закуплено</w:t>
            </w:r>
          </w:p>
        </w:tc>
        <w:tc>
          <w:tcPr>
            <w:tcW w:w="160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Отпущено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Остаток на 01.07.05 г.</w:t>
            </w:r>
          </w:p>
        </w:tc>
      </w:tr>
      <w:tr w:rsidR="00431A8A" w:rsidRPr="00856B63" w:rsidTr="002C417B">
        <w:trPr>
          <w:trHeight w:val="480"/>
        </w:trPr>
        <w:tc>
          <w:tcPr>
            <w:tcW w:w="155" w:type="pct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  <w:p w:rsidR="00431A8A" w:rsidRPr="00856B63" w:rsidRDefault="00431A8A" w:rsidP="002C417B">
            <w:pPr>
              <w:jc w:val="both"/>
            </w:pPr>
          </w:p>
        </w:tc>
        <w:tc>
          <w:tcPr>
            <w:tcW w:w="3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  <w:p w:rsidR="00431A8A" w:rsidRPr="00856B63" w:rsidRDefault="00431A8A" w:rsidP="002C417B">
            <w:pPr>
              <w:jc w:val="both"/>
            </w:pPr>
          </w:p>
        </w:tc>
        <w:tc>
          <w:tcPr>
            <w:tcW w:w="7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  <w:p w:rsidR="00431A8A" w:rsidRPr="00856B63" w:rsidRDefault="00431A8A" w:rsidP="002C417B">
            <w:pPr>
              <w:jc w:val="both"/>
            </w:pP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  <w:p w:rsidR="00431A8A" w:rsidRPr="00856B63" w:rsidRDefault="00431A8A" w:rsidP="002C417B">
            <w:pPr>
              <w:jc w:val="both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Кол-во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Цена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Поставщик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Населению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  <w:r w:rsidRPr="00856B63">
              <w:t>ЛПУ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A8A" w:rsidRPr="00856B63" w:rsidRDefault="00431A8A" w:rsidP="002C417B">
            <w:pPr>
              <w:jc w:val="both"/>
            </w:pPr>
            <w:r w:rsidRPr="00856B63">
              <w:t>Др. организации</w:t>
            </w:r>
          </w:p>
        </w:tc>
        <w:tc>
          <w:tcPr>
            <w:tcW w:w="46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31A8A" w:rsidRPr="00856B63" w:rsidRDefault="00431A8A" w:rsidP="002C417B">
            <w:pPr>
              <w:jc w:val="both"/>
            </w:pPr>
          </w:p>
          <w:p w:rsidR="00431A8A" w:rsidRPr="00856B63" w:rsidRDefault="00431A8A" w:rsidP="002C417B">
            <w:pPr>
              <w:jc w:val="both"/>
            </w:pPr>
          </w:p>
        </w:tc>
      </w:tr>
      <w:tr w:rsidR="00431A8A" w:rsidRPr="00856B63" w:rsidTr="002C417B">
        <w:trPr>
          <w:trHeight w:val="355"/>
        </w:trPr>
        <w:tc>
          <w:tcPr>
            <w:tcW w:w="15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1A8A" w:rsidRPr="00856B63" w:rsidRDefault="00431A8A" w:rsidP="002C417B">
            <w:pPr>
              <w:jc w:val="both"/>
            </w:pP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31A8A" w:rsidRPr="00856B63" w:rsidRDefault="00431A8A" w:rsidP="002C417B">
            <w:pPr>
              <w:jc w:val="both"/>
            </w:pPr>
          </w:p>
        </w:tc>
      </w:tr>
    </w:tbl>
    <w:p w:rsidR="00431A8A" w:rsidRPr="00856B63" w:rsidRDefault="00431A8A" w:rsidP="00431A8A">
      <w:pPr>
        <w:spacing w:before="120"/>
        <w:ind w:firstLine="567"/>
        <w:jc w:val="both"/>
      </w:pPr>
      <w:r w:rsidRPr="00856B63">
        <w:t>2.</w:t>
      </w:r>
      <w:r>
        <w:t xml:space="preserve"> </w:t>
      </w:r>
      <w:r w:rsidRPr="00856B63">
        <w:t>Товарные остатки и движение ке-торолака. При оценке емкости потребительского потенциала аптечных учреждений на двух рынках с точки зрения спроса определено, что общий объем закупок в группе респондентов за I полугодие 2005 г. составил 5112 упаковок (при условии начальных товарных остатков 267,8 упаковок или 5%) на общую сумму 380256,28 руб. {табл. 1).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3. Емкость рынка.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A) Распределение закупок по территориям. Наибольшая часть кеторо-лака (МНН) во всех ЛФ, как в количественном (граммы действующего вещества), так и в стоимостном (сумма в рублях) выражении, была закуплена в субъекте X: соответственно, 83,9 и 88,1%, хотя разница численности респондентов в субъектах составляет всего 2 аптеки. Заметим важную деталь: одна упаковка Кеторола содержит 20 таблеток, а Кета-нова — 100 (в 5 раз больше), одна таблетка содержит 10 мг, а ампула — 30 мг (в 3 раза больше) кеторолака. В силу наблюдающейся несопоставимости показателей, для сравнения анализ проводился в пересчете на количество таблеток или ампул, а также грамм действующего вещества (ДВ) и в стоимостном выражении.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B)</w:t>
      </w:r>
      <w:r>
        <w:t xml:space="preserve"> </w:t>
      </w:r>
      <w:r w:rsidRPr="00856B63">
        <w:t>Распределение закупок по всем лекарственным формам. Сравнительная характеристика потребительских предпочтений аптечных организаций, находящихся в различных субъектах РФ, позволила выявить значительную неоднородность в закупочной стратегии на территориальном уровне. В ассортиментной структуре рынка субъекта X присутствуют все пять указанных торговых наименований, в то время как респонденты субъекта Y в исследуемом промежутке времени не осуществляли закупки кеторолака, амп. 30 мг/мл №10. В субъекте X долевое соотношение количества приобретенных товаров в изучаемом кластере в перерасчете на единицу дозировки «таблетка/ампула» практически паритетно и составляет 47,8% к 52,2%. В субъекте Y наблюдается преобладание таблетированных форм над ампулированными — 86,7% к 13,3%, т.е. в 6,5 раза (необходимость пересчета обусловлена неравноценностью упаковок по наименованиям Кеторол (табл. 10 мг №20) и Кетанов (табл. 10 мг №100)). С учетом содержания действующего вещества в различных ЛФ долевое распределение в субъекте X смещается в сторону увеличения значимости растворов практически пропорционально дозировке, т.е. 1 к 3,3. Для рынка субъекта Y преобладание доли количества субстанции, закупленной в составе таблеток, сохраняется, но в меньшей пропорции: 68,5% к 31,5%, или в 2,2 раза. В стоимостном выражении показатели спроса розничного звена по долевому распределению достаточно близки к аналогичным характеристикам закупок по действующему веществу. В наибольшей степени данная тенденция отмечается для субъекта X («таблетки/ампулы» - 20,3% к 79,7%), в субъекте Y отклонения составляют около 15% (53,6% к 46,4%) {рис. 2). С) Характеристики закупочной стратегии по таблетированным ЛФ. Для рынков субъектов X и Y эти характеристики оказались кардинально противоположны. Так, в субъекте X (а его доля в общих закупках, напомним, 84—89%), предпочтение отдавалось Кеторолу и составило 72,4% в натуральных показателях (табл., грамм ДВ) и 74,9% — в стоимостных. В субъекте Y, наоборот, приоритетным был Кетанов, чья доля в закупках, соответственно, 89,0—89,7%.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D) Зависимость объемов закупок от цены для таблетированных ЛФ. Диапазон цен для Кеторола составил от 1,4 руб./табл. до 2,35 руб./табл., Кетанова — от 1,89 руб./табл. до 2,8 руб./табл., т.е. Кетанов приобретали по более высоким ценам. В субъекте X четвертая часть спроса (26,5%) приходится на самый высокий уровень цены для Кеторола (2,25 руб.); 54,9% (т.е. около половины) всех закупок осуществлены по цене до 2-х руб., остальные — свыше. Для субъекта Y доля спроса на Кеторол в диапазоне до 2-х руб. еще ниже — 45,1%. Несмотря на то, что Кетанов относительно дороже, чем Кеторол, 80% в субъекте Y были закуплены по цене, превышающей 2 руб. Таким образом, четкой зависимости спроса от цены не выявлено, что говорит о возможном преобладании неценовых факторов в закупочной стратегии.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E) Характеристики закупочной стратегии по ампулированным ЛФ. На рынке субъекта X инъекционные ЛФ представлены 3 наименованиями, субъекта Y — только двумя. И в той и в другой территории респонденты более охотно приобретали Кеторол: его доля в закупках составила 80,1% в количественном (граммы ДВ) и 80,3% в стоимостном (сумма в руб.) выражении для субъекта X и 50,6—46,7% для субъекта Y. На долю Долака пришлось 5,7—73% и 49,4—53,3% соответственно. Удельный вес торгового наименования Кеторолак в субъекте X составил 14,2% (граммы) — 12,4% (рубли). На территории субъекта Y данный препарат респондентами не приобретался.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F) Зависимость объемов закупок от цены для ампулированных ЛФ. Разброс уровня цен по трем наименованиям достаточно широк и находится от 66 руб. (Кеторолак, субъект X) до 134 руб. (Долак, субъект Y), т.е. разница составляет 100% или в 2 раза. Несмотря на то, что Кеторолак значительно дешевле других торговых наименований-конкурентов, спрос на него незначителен. Уровень цен в субъекте X ниже, чем в</w:t>
      </w:r>
      <w:r>
        <w:t xml:space="preserve"> </w:t>
      </w:r>
      <w:r w:rsidRPr="00856B63">
        <w:t>субъекте Y, 60,5% Кеторола и 100% Долака в субъекте X закуплено в сегменте цен до 100 руб. В субъекте Y практически все закупки, а это 94,3% Кеторола и 100% Долака, осуществлены по ценам от 105 руб. до 134 руб., что также свидетельствует об осуществлении четко выраженной зависимости спроса от цены. G) Сравнительная характеристика общих закупок по всем торговым наименованиям. В субъекте X. доля которого составляет 84% (ДВ) - 89% (руб.), лидирующие позиции занимает Кеторол: доля спроса на ампулы составляет 42,6% в количественном выражении (в граммах ДВ) и 64% в стоимостном; 34,0% действующего вещества закуплено в виде таблеток Кеторола, что составляет 15,0% по сумме. На три остальные торговые наименования приходится, соответственно, 23,4 и 21,0%. Для субъекта Y, доля закупок в котором занимает 16—11% от общих, наибольшим спросом пользуется Кетанов в форме таблеток — 77,2 и 48,1% (рис. 2).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4. Конкурентные позиции компаний-производителей. При анализе распределения закупок следует отметить, что лидирующие позиции на рынке субъекта X занимает компания «Д-р Редди'с» — это 78,0% по количеству действующего вещества и 79,0% в денежном выражении. Три другие компании контролируют 22—23% рынка («Синтез АКО» — 11,3-10,0%; «Ранбакси» - 6,4-5,1%; «Кадила» — 4,3—5,9%). В субъекте Y, наоборот, удельный вес «Д-р Редди'с» составляет лишь 23,4—27,2% на фоне преимущества «Ранбакси», охватывающего 60— 48,1% рынка. На долю «Кадилы» в субъекте Y приходятся 16,6% (ДВ) и 24,7% (руб.) закупок. Продукция ОАО «Синтез АКО» (Кеторолак в ампулах), напомним, в данном субъекте не представлена.</w:t>
      </w:r>
    </w:p>
    <w:p w:rsidR="00431A8A" w:rsidRPr="00ED344F" w:rsidRDefault="00431A8A" w:rsidP="00431A8A">
      <w:pPr>
        <w:spacing w:before="120"/>
        <w:jc w:val="center"/>
        <w:rPr>
          <w:b/>
          <w:bCs/>
          <w:sz w:val="28"/>
          <w:szCs w:val="28"/>
        </w:rPr>
      </w:pPr>
      <w:r w:rsidRPr="00ED344F">
        <w:rPr>
          <w:b/>
          <w:bCs/>
          <w:sz w:val="28"/>
          <w:szCs w:val="28"/>
        </w:rPr>
        <w:t>Выводы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Фактор гегемонии. Результаты исследования позволяют констатировать, что компания «Д-р Редди'с» смогла получить наибольшие конкурентные преимущества в целом и захватить более 2/3 рынка (по количеству таблеток и ампул доля составляет 66,7%, ДВ - 72,5% и 73,0% в суммовом выражении), помимо прочего, за счет производства кеторолака (МНН) в виде сразу двух лекарственных форм — таблеток и раствора для инъекций. Общая картина. Оценка типа конкурентной структуры на основе полученных данных внутри исследуемых рынков проводилась с использованием коэффициента концентрации рынка и индекса Гиршмана—Герфиндаля. Коэффициент концентрации рынка рассчитывается как сумма долей трех наиболее крупных компаний-производителей: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где CR(3) — коэффициент концентрации трех наиболее крупных компаний-производителей, Dk — доля к-й крупной компании-производителя, m — число исследуемых компаний-производителей. Индекс Гиршмана—Герфиндаля трактуется как наиболее адекватная характеристика интенсивности конкуренции и определяется как сумма квадратов долей рынка каждой крупной компании-производителя:</w:t>
      </w:r>
    </w:p>
    <w:p w:rsidR="00431A8A" w:rsidRPr="00856B63" w:rsidRDefault="00431A8A" w:rsidP="00431A8A">
      <w:pPr>
        <w:spacing w:before="120"/>
        <w:ind w:firstLine="567"/>
        <w:jc w:val="both"/>
      </w:pPr>
      <w:r w:rsidRPr="00856B63">
        <w:t>где HHI — индекс Гиршмана-Герфиндаля, Dk — доля k-й крупной компании-производителя на рынке, m — число крупных компаний. Чем выше значения HHI, тем влиятельнее крупнейшие компании-производители. Этот показатель предлагается использовать в сочетании с коэффициентом концентрации CR(3). При этом если окажется, что величина CR(3) превышает 70%, а величина HHI — 2000, то можно говорить о высокой степени концентрации рынка и о слабом развитии конкурентной среды. Если CR(3) больше 45%, но меньше 70%, a HHI меньше 2000, то наблюдается умеренная степень концентрации рынка. Когда же CR(3) меньше 45%, a HHI меньше 1000, рынок характеризуется слабой степенью концентрации и его можно характеризовать как демонополизированный (Анурин В., Муромкина И., Евтушенко Е. Маркетинговые исследования потребительского рынка. - СПб.: Питер, 2004. - С.81.). Полученные нами расчетные данные позволяют сделать заключение о высокой степени концентрации рынка и, следовательно, слабом развитии конкурентной среды (табл. 2). Меры. Отмеченные и другие результаты оценки конкурентной среды позволили сформировать пакеты первоочередных маркетинговых мероприятий по оптимизации продвижения товара на различных уровнях товаропроводящей системы.</w:t>
      </w:r>
    </w:p>
    <w:p w:rsidR="00431A8A" w:rsidRPr="00003382" w:rsidRDefault="00431A8A" w:rsidP="00431A8A">
      <w:pPr>
        <w:spacing w:before="120"/>
        <w:jc w:val="center"/>
        <w:rPr>
          <w:b/>
          <w:bCs/>
          <w:sz w:val="28"/>
          <w:szCs w:val="28"/>
        </w:rPr>
      </w:pPr>
      <w:r w:rsidRPr="00003382">
        <w:rPr>
          <w:b/>
          <w:bCs/>
          <w:sz w:val="28"/>
          <w:szCs w:val="28"/>
        </w:rPr>
        <w:t>Список литературы</w:t>
      </w:r>
    </w:p>
    <w:p w:rsidR="00431A8A" w:rsidRDefault="00431A8A" w:rsidP="00431A8A">
      <w:pPr>
        <w:spacing w:before="120"/>
        <w:ind w:firstLine="567"/>
        <w:jc w:val="both"/>
      </w:pPr>
      <w:r>
        <w:t xml:space="preserve">Журнал «Российские аптеки», №6 2006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A8A"/>
    <w:rsid w:val="00003382"/>
    <w:rsid w:val="000A10F4"/>
    <w:rsid w:val="002C417B"/>
    <w:rsid w:val="00431A8A"/>
    <w:rsid w:val="006B11B3"/>
    <w:rsid w:val="00856B63"/>
    <w:rsid w:val="00E16CF5"/>
    <w:rsid w:val="00ED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3FF9BB-FF19-470E-8838-2C9D5CFC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10916</Characters>
  <Application>Microsoft Office Word</Application>
  <DocSecurity>0</DocSecurity>
  <Lines>90</Lines>
  <Paragraphs>25</Paragraphs>
  <ScaleCrop>false</ScaleCrop>
  <Company>Home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Конкурентная среда: пример компетентной и эффективной оценки</dc:title>
  <dc:subject/>
  <dc:creator>User</dc:creator>
  <cp:keywords/>
  <dc:description/>
  <cp:lastModifiedBy>admin</cp:lastModifiedBy>
  <cp:revision>2</cp:revision>
  <dcterms:created xsi:type="dcterms:W3CDTF">2014-02-18T00:36:00Z</dcterms:created>
  <dcterms:modified xsi:type="dcterms:W3CDTF">2014-02-18T00:36:00Z</dcterms:modified>
</cp:coreProperties>
</file>