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87" w:rsidRDefault="00791687" w:rsidP="00CC4F7F">
      <w:pPr>
        <w:pStyle w:val="13"/>
        <w:rPr>
          <w:rStyle w:val="12"/>
          <w:i w:val="0"/>
          <w:color w:val="548DD4"/>
          <w:sz w:val="28"/>
          <w:lang w:val="ru-RU"/>
        </w:rPr>
      </w:pPr>
    </w:p>
    <w:p w:rsidR="00220198" w:rsidRPr="001C2A84" w:rsidRDefault="00220198" w:rsidP="00CC4F7F">
      <w:pPr>
        <w:pStyle w:val="13"/>
        <w:rPr>
          <w:rStyle w:val="12"/>
          <w:i w:val="0"/>
          <w:color w:val="548DD4"/>
          <w:sz w:val="28"/>
          <w:lang w:val="ru-RU"/>
        </w:rPr>
      </w:pPr>
      <w:r>
        <w:rPr>
          <w:rStyle w:val="12"/>
          <w:i w:val="0"/>
          <w:color w:val="548DD4"/>
          <w:sz w:val="28"/>
          <w:lang w:val="ru-RU"/>
        </w:rPr>
        <w:t>К</w:t>
      </w:r>
      <w:r w:rsidRPr="001C2A84">
        <w:rPr>
          <w:rStyle w:val="12"/>
          <w:i w:val="0"/>
          <w:color w:val="548DD4"/>
          <w:sz w:val="28"/>
          <w:lang w:val="ru-RU"/>
        </w:rPr>
        <w:t>онкурентоспособность газовой промышленности</w:t>
      </w:r>
      <w:r>
        <w:rPr>
          <w:rStyle w:val="12"/>
          <w:i w:val="0"/>
          <w:color w:val="548DD4"/>
          <w:sz w:val="28"/>
          <w:lang w:val="ru-RU"/>
        </w:rPr>
        <w:t xml:space="preserve"> в России.</w:t>
      </w:r>
    </w:p>
    <w:p w:rsidR="00220198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>
        <w:rPr>
          <w:rStyle w:val="12"/>
          <w:b w:val="0"/>
          <w:i w:val="0"/>
          <w:sz w:val="28"/>
          <w:lang w:val="ru-RU"/>
        </w:rPr>
        <w:t xml:space="preserve"> </w:t>
      </w:r>
      <w:r w:rsidRPr="001C2A84">
        <w:rPr>
          <w:rStyle w:val="12"/>
          <w:b w:val="0"/>
          <w:i w:val="0"/>
          <w:sz w:val="28"/>
          <w:lang w:val="ru-RU"/>
        </w:rPr>
        <w:t>Что же такое конкурентоспособность в целом? Является ли Россия конкурентоспособной? И какие товары представляет Россия на мировом рынке?  Проблема данных во</w:t>
      </w:r>
      <w:r w:rsidRPr="00CC4F7F">
        <w:rPr>
          <w:rStyle w:val="12"/>
          <w:b w:val="0"/>
          <w:i w:val="0"/>
          <w:sz w:val="28"/>
        </w:rPr>
        <w:t>просов  носят актуальный характер в современном мире. Об этом свидетельствует частое изучение поднятых вопросов.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</w:rPr>
        <w:t>Конкуренция - одна из самых главных черт рыночного хозяйства. Именно конкуренция обеспечивает творческую свободу личности, создает условия для ее самореализации в сфере экономики путем разработки и создания новых конкурентоспособных товаров и услуг. В современных условиях усиливающегося процесса глобализации и интернационализации проблемы международной конкуренции выходят на первый план.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</w:rPr>
        <w:br/>
        <w:t>     Показателем признания ведущей роли конкуренции для успешного функционирования рыночного хозяйства является тот факт, что в большинстве стран мира, включая страны с переходной экономикой, к настоящему времени приняты законы о конкуренции и созданы национальные органы, занимающиеся этими вопросами.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</w:rPr>
      </w:pPr>
      <w:r w:rsidRPr="00CC4F7F">
        <w:rPr>
          <w:rStyle w:val="12"/>
          <w:b w:val="0"/>
          <w:i w:val="0"/>
          <w:sz w:val="28"/>
        </w:rPr>
        <w:br/>
        <w:t>     Страновая и отраслевая конкурентоспособность в конечном итоге зависит от способности конкретного товаропроизводителя выпускать конкурентоспособный товар.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</w:rPr>
        <w:t>Бесспорно Россия является частью мировой экономики, следовательно она конкурентоспособна. Наиважнейшая цель как Правительства России, это создание конкурентоспособной экономики, обеспечивающей её лидерство на международном рынке.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Наша страна располагает значительной частью ресурсного потенциала планеты. </w:t>
      </w:r>
      <w:r w:rsidRPr="00CC4F7F">
        <w:rPr>
          <w:rStyle w:val="12"/>
          <w:b w:val="0"/>
          <w:i w:val="0"/>
          <w:sz w:val="28"/>
        </w:rPr>
        <w:t xml:space="preserve">Это крупные, экономически привлекательные и сравнительно недорогие для внутренних потребителей запасы энергии и другие полезные ископаемые. Валовая стоимость балансовых запасов России по 50 видам полезных ископаемых оценивается в $30 трлн. (свыше $200 тыс. на одного жителя),прогнозный потенциал природных ресурсов оценивается в $140 трлн., что более чем вдвое, превышает суммарное национальное богатство Японии; в России сосредоточено 13% мировых разведанных запасов нефти, 36% - газа, 12% - угля; 1 место по дешевизне электроэнергии для промышленных потребителей (62% от уровня Китая, 47% от США, 30% от Германии и 15% от Японии), что дает ей бесспорное преимущество.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Нефть и газ обеспечивают 20% внутреннего валового продукта России, они являются главными статьями нашего экспорта, давая более половины его доходов. </w:t>
      </w:r>
      <w:r w:rsidRPr="00CC4F7F">
        <w:rPr>
          <w:rStyle w:val="12"/>
          <w:b w:val="0"/>
          <w:i w:val="0"/>
          <w:sz w:val="28"/>
        </w:rPr>
        <w:t xml:space="preserve">Россия традиционно называется мировым лидером в области добычи природного горючего газа. И именно этому  природному  ресурсу я бы хотела уделить внимания.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Природный газ – один из важнейших видов горючих полезных ископаемых. </w:t>
      </w:r>
      <w:r w:rsidRPr="00CC4F7F">
        <w:rPr>
          <w:rStyle w:val="12"/>
          <w:b w:val="0"/>
          <w:i w:val="0"/>
          <w:sz w:val="28"/>
        </w:rPr>
        <w:t>Природный газ занимает главные позиции в топливно-энергетической промышленности многих стран.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>Основные  запасы природного газа Земли (101 трлн.куб.м.)</w:t>
      </w:r>
      <w:r w:rsidRPr="00CC4F7F">
        <w:rPr>
          <w:rStyle w:val="12"/>
          <w:b w:val="0"/>
          <w:i w:val="0"/>
          <w:sz w:val="28"/>
        </w:rPr>
        <w:t> </w:t>
      </w:r>
      <w:r w:rsidRPr="00CC4F7F">
        <w:rPr>
          <w:rStyle w:val="12"/>
          <w:b w:val="0"/>
          <w:i w:val="0"/>
          <w:sz w:val="28"/>
          <w:lang w:val="ru-RU"/>
        </w:rPr>
        <w:t xml:space="preserve"> </w:t>
      </w:r>
      <w:r w:rsidRPr="00CC4F7F">
        <w:rPr>
          <w:rStyle w:val="12"/>
          <w:b w:val="0"/>
          <w:i w:val="0"/>
          <w:sz w:val="28"/>
        </w:rPr>
        <w:t>сосредоточены в трёх странах: России - около 50 трлн.куб.м. (что составляет около 28% всех доказанных запасов в мире), Иране - 28 трлн.куб.м. (16%) и Катаре 26 трлн.куб.м. (15%)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Крупнейшими нефтегазовыми компаниями в России являются - Газпром, Нефтяная компания "ЛУКойл", ТНК-ВР Холдинг, Нефтяная компания "Роснефть", Сургутнефтегаз, Татнефть, Нефтегазовая компания "Славнефть", Нефтегазовая компания "Русснефть", АНК "Башнефть", Томскнефть, Самаранефтегаз, НоваТЭК, Нефтяная компания "Альянс", </w:t>
      </w:r>
      <w:r w:rsidRPr="00CC4F7F">
        <w:rPr>
          <w:rStyle w:val="12"/>
          <w:b w:val="0"/>
          <w:i w:val="0"/>
          <w:sz w:val="28"/>
        </w:rPr>
        <w:t>Sibir</w:t>
      </w:r>
      <w:r w:rsidRPr="00CC4F7F">
        <w:rPr>
          <w:rStyle w:val="12"/>
          <w:b w:val="0"/>
          <w:i w:val="0"/>
          <w:sz w:val="28"/>
          <w:lang w:val="ru-RU"/>
        </w:rPr>
        <w:t xml:space="preserve"> </w:t>
      </w:r>
      <w:r w:rsidRPr="00CC4F7F">
        <w:rPr>
          <w:rStyle w:val="12"/>
          <w:b w:val="0"/>
          <w:i w:val="0"/>
          <w:sz w:val="28"/>
        </w:rPr>
        <w:t>Energy</w:t>
      </w:r>
      <w:r w:rsidRPr="00CC4F7F">
        <w:rPr>
          <w:rStyle w:val="12"/>
          <w:b w:val="0"/>
          <w:i w:val="0"/>
          <w:sz w:val="28"/>
          <w:lang w:val="ru-RU"/>
        </w:rPr>
        <w:t xml:space="preserve"> </w:t>
      </w:r>
      <w:r w:rsidRPr="00CC4F7F">
        <w:rPr>
          <w:rStyle w:val="12"/>
          <w:b w:val="0"/>
          <w:i w:val="0"/>
          <w:sz w:val="28"/>
        </w:rPr>
        <w:t>plc</w:t>
      </w:r>
      <w:r w:rsidRPr="00CC4F7F">
        <w:rPr>
          <w:rStyle w:val="12"/>
          <w:b w:val="0"/>
          <w:i w:val="0"/>
          <w:sz w:val="28"/>
          <w:lang w:val="ru-RU"/>
        </w:rPr>
        <w:t>, Удмуртнефть, НГК "Итера", Афипский НПЗ, Ваньеганнефть, Ангарская нефтехимическая компания, Уфанефтехим, Ново-Уфимский нефтеперерабатывающий завод, Уфимский нефтеперерабатывающий завод, Новокуйбышевский НПЗ, Полярное Сияние, Синтезнефтегаз, Московский НПЗ.  На долю Газпрома приходится 70</w:t>
      </w:r>
      <w:r w:rsidRPr="00CC4F7F">
        <w:rPr>
          <w:rStyle w:val="12"/>
          <w:b w:val="0"/>
          <w:i w:val="0"/>
          <w:sz w:val="28"/>
        </w:rPr>
        <w:t> </w:t>
      </w:r>
      <w:r w:rsidRPr="00CC4F7F">
        <w:rPr>
          <w:rStyle w:val="12"/>
          <w:b w:val="0"/>
          <w:i w:val="0"/>
          <w:sz w:val="28"/>
          <w:lang w:val="ru-RU"/>
        </w:rPr>
        <w:t xml:space="preserve">% российской добычи газа. </w:t>
      </w:r>
      <w:r w:rsidRPr="00CC4F7F">
        <w:rPr>
          <w:rStyle w:val="12"/>
          <w:b w:val="0"/>
          <w:i w:val="0"/>
          <w:sz w:val="28"/>
        </w:rPr>
        <w:t>Основные добывающие мощности расположены в Ямало-Ненецком автономном округе. Газпром производит более 8 % российского внутреннего валового продукта. Газпром почти полностью удовлетворяет потребности в газе всего бывшего СССР, восточной и центральной Европы.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Газовая отрасль, благодаря процессам глобализации мировой экономики, становится мировой индустрией. </w:t>
      </w:r>
      <w:r w:rsidRPr="00CC4F7F">
        <w:rPr>
          <w:rStyle w:val="12"/>
          <w:b w:val="0"/>
          <w:i w:val="0"/>
          <w:sz w:val="28"/>
        </w:rPr>
        <w:t>Газовые рынки готовы к быстрому росту. Сейчас развитие газовой отрасли все более ориентировано на Россию. Этому способствуют 2 тенденции – наличие больших запасов газа в России и тенденция по переходу с нефти на газ в мировой энергетике. Все это способствует тому, что российские компании смогут получить выход на международный уровень. Способствовать выходу на международный рынок должны совместные усилия российского правительства и частного бизнеса по снижению уровня рисков, повышению рентабельности газовых проектов.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</w:rPr>
        <w:t xml:space="preserve">Главнейшим приоритетом развития газовой отрасли России является увеличение выпуска продукции высокой степени переработки. В перспективе развития – увеличение доли продукции нефте- и газопереработки и снижение доли "сырой" нефти и "сырого" газа в экспорте за рубеж.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Подходя к изучению материала, мне под руку много раз попадались статьи в которых говорилось о то ,что США перехватили у России лидерство в добыче природного газа. </w:t>
      </w:r>
      <w:r w:rsidRPr="00CC4F7F">
        <w:rPr>
          <w:rStyle w:val="12"/>
          <w:b w:val="0"/>
          <w:i w:val="0"/>
          <w:sz w:val="28"/>
        </w:rPr>
        <w:t>В начале 2010 года выходит статья Сергей Гуща</w:t>
      </w:r>
      <w:r w:rsidRPr="00CC4F7F">
        <w:rPr>
          <w:rStyle w:val="12"/>
          <w:b w:val="0"/>
          <w:sz w:val="28"/>
        </w:rPr>
        <w:t xml:space="preserve"> </w:t>
      </w:r>
    </w:p>
    <w:p w:rsidR="00220198" w:rsidRPr="00CC4F7F" w:rsidRDefault="00220198" w:rsidP="00CC4F7F">
      <w:pPr>
        <w:pStyle w:val="13"/>
        <w:rPr>
          <w:rStyle w:val="12"/>
          <w:b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sz w:val="28"/>
          <w:lang w:val="ru-RU"/>
        </w:rPr>
      </w:pPr>
      <w:r w:rsidRPr="00CC4F7F">
        <w:rPr>
          <w:rStyle w:val="12"/>
          <w:b w:val="0"/>
          <w:sz w:val="28"/>
          <w:lang w:val="ru-RU"/>
        </w:rPr>
        <w:t xml:space="preserve">«Соединенные Штаты в 2009 году опередили Россию и вышли на первое место в мире по объему добываемого газа, сообщило агентство </w:t>
      </w:r>
      <w:r w:rsidRPr="00CC4F7F">
        <w:rPr>
          <w:rStyle w:val="12"/>
          <w:b w:val="0"/>
          <w:sz w:val="28"/>
        </w:rPr>
        <w:t>Bloomberg</w:t>
      </w:r>
      <w:r w:rsidRPr="00CC4F7F">
        <w:rPr>
          <w:rStyle w:val="12"/>
          <w:b w:val="0"/>
          <w:sz w:val="28"/>
          <w:lang w:val="ru-RU"/>
        </w:rPr>
        <w:t xml:space="preserve">. </w:t>
      </w:r>
      <w:r w:rsidRPr="00CC4F7F">
        <w:rPr>
          <w:rStyle w:val="12"/>
          <w:b w:val="0"/>
          <w:sz w:val="28"/>
        </w:rPr>
        <w:t xml:space="preserve">Добыча газа в США выросла почти на 4 процента, в основном за счет разработки сланцевых месторождений. По данным американского министерства энергетики, за 10 месяцев прошлого года добыча газа составила 519 миллиардов кубических метров. </w:t>
      </w:r>
      <w:r w:rsidRPr="00CC4F7F">
        <w:rPr>
          <w:rStyle w:val="12"/>
          <w:b w:val="0"/>
          <w:sz w:val="28"/>
          <w:lang w:val="ru-RU"/>
        </w:rPr>
        <w:t xml:space="preserve">Согласно прогнозу на весь 2009 год, общий объем добытого газа в США достиг 624 миллиардов кубометров.   В России с января по октябрь прошлого года, по данным министерства энергетики РФ, было добыто 462 миллиарда кубометров газа, сообщает "Интерфакс". </w:t>
      </w:r>
      <w:r w:rsidRPr="00CC4F7F">
        <w:rPr>
          <w:rStyle w:val="12"/>
          <w:b w:val="0"/>
          <w:sz w:val="28"/>
        </w:rPr>
        <w:t xml:space="preserve">Из-за экономического кризиса сократилось потребление голубого топлива как в России, так и на европейском рынке. Экспорт газа из России в прошлом году сократился на 10 процентов. Из-за этого добыча газа в стране сократилась с 644,9 до 582,3 миллиарда кубометров» 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Почему же Россия уступает своё лидерство в добыче природного газа другим странам?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</w:rPr>
        <w:t xml:space="preserve">Серьезной проблемой дальнейшего развития газового комплекса России, является низкий уровень газоперерабатывающего производства, его масштабы контрастируют с мощной газовой индустрией в целом. Так, в России общая мощность 24 ГПЗ оценивалась на начало 2002 г. примерно в 100 млрд. куб.м., т.е. менее 20% суммарной добычи в стране. А фактический объем переработки газа составлял в 2001 г. лишь 47,9 млрд. куб.м., причем большая часть переработки приходилась на ГПЗ, принадлежащие Газпрому, тогда как на других предприятиях отрасли уровень загрузки составлял 30%.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Для сравнения, к примеру в США, при таком же объеме добычи газа показатели газопереработки отличаются на порядок: на ГПЗ США перерабатывается более 86% всего добываемого газа, в то время как в России - 8%. </w:t>
      </w:r>
      <w:r w:rsidRPr="00CC4F7F">
        <w:rPr>
          <w:rStyle w:val="12"/>
          <w:b w:val="0"/>
          <w:i w:val="0"/>
          <w:sz w:val="28"/>
        </w:rPr>
        <w:t xml:space="preserve">В США суммарная мощность 570 действующих ГПЗ составляет 730 млрд. куб. м газа, что превышает годовой уровень добычи почти на 200 млрд. куб.м.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</w:rPr>
        <w:t xml:space="preserve">По существующим оценкам, мировые мощности по переработке газа за последние 5 лет возросли на 19% и сопоставимы с уровнем мировой добычи газа, при этом более половины мощностей находятся в США и Канаде. 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В Саудовской Аравии мощности ГПЗ за тот же период возросли в 2 раза. </w:t>
      </w:r>
    </w:p>
    <w:p w:rsidR="00220198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231348">
        <w:rPr>
          <w:rStyle w:val="12"/>
          <w:b w:val="0"/>
          <w:i w:val="0"/>
          <w:sz w:val="28"/>
          <w:lang w:val="ru-RU"/>
        </w:rPr>
        <w:t xml:space="preserve">Мощности ГПЗ России, ведущего производителя газа, составляют около 4% мировых. </w:t>
      </w:r>
      <w:r w:rsidRPr="00CC4F7F">
        <w:rPr>
          <w:rStyle w:val="12"/>
          <w:b w:val="0"/>
          <w:i w:val="0"/>
          <w:sz w:val="28"/>
        </w:rPr>
        <w:t xml:space="preserve">Очевидно, что страны с развитым уровнем переработки обладают значительно большим “запасом прочности”, поскольку на мировом рынке цены на продукты газопереработки значительно выше и растут вдвое быстрее, чем на сырую нефть. </w:t>
      </w:r>
    </w:p>
    <w:p w:rsidR="00220198" w:rsidRDefault="00220198" w:rsidP="00CC4F7F">
      <w:pPr>
        <w:pStyle w:val="13"/>
        <w:rPr>
          <w:sz w:val="28"/>
          <w:lang w:val="ru-RU"/>
        </w:rPr>
      </w:pPr>
      <w:r>
        <w:rPr>
          <w:rStyle w:val="12"/>
          <w:b w:val="0"/>
          <w:i w:val="0"/>
          <w:sz w:val="28"/>
          <w:lang w:val="ru-RU"/>
        </w:rPr>
        <w:t xml:space="preserve">В первую очередь </w:t>
      </w:r>
      <w:r>
        <w:rPr>
          <w:sz w:val="28"/>
          <w:lang w:val="ru-RU"/>
        </w:rPr>
        <w:t>и</w:t>
      </w:r>
      <w:r w:rsidRPr="00231348">
        <w:rPr>
          <w:sz w:val="28"/>
          <w:lang w:val="ru-RU"/>
        </w:rPr>
        <w:t>ллюзия о первенстве России в добыче газа строится на том, что в мировых статистических обзорах в качестве "</w:t>
      </w:r>
      <w:r w:rsidRPr="00231348">
        <w:rPr>
          <w:sz w:val="28"/>
        </w:rPr>
        <w:t>natural</w:t>
      </w:r>
      <w:r w:rsidRPr="00231348">
        <w:rPr>
          <w:sz w:val="28"/>
          <w:lang w:val="ru-RU"/>
        </w:rPr>
        <w:t xml:space="preserve"> </w:t>
      </w:r>
      <w:r w:rsidRPr="00231348">
        <w:rPr>
          <w:sz w:val="28"/>
        </w:rPr>
        <w:t>gas</w:t>
      </w:r>
      <w:r w:rsidRPr="00231348">
        <w:rPr>
          <w:sz w:val="28"/>
          <w:lang w:val="ru-RU"/>
        </w:rPr>
        <w:t xml:space="preserve"> </w:t>
      </w:r>
      <w:r w:rsidRPr="00231348">
        <w:rPr>
          <w:sz w:val="28"/>
        </w:rPr>
        <w:t>production</w:t>
      </w:r>
      <w:r w:rsidRPr="00231348">
        <w:rPr>
          <w:sz w:val="28"/>
          <w:lang w:val="ru-RU"/>
        </w:rPr>
        <w:t>" часто приводятся данные по пр</w:t>
      </w:r>
      <w:r>
        <w:rPr>
          <w:sz w:val="28"/>
          <w:lang w:val="ru-RU"/>
        </w:rPr>
        <w:t>оизводству осушенного "сухого"</w:t>
      </w:r>
      <w:r w:rsidRPr="00231348">
        <w:rPr>
          <w:sz w:val="28"/>
          <w:lang w:val="ru-RU"/>
        </w:rPr>
        <w:t xml:space="preserve"> (энергетического) газа. Отечественные аналитики делают выводы о первенстве России, сравнивая эти данные с российской валовой добычей. Проведенный анализ показал, что по валовой добыче Россия первого места не занимает, по добыче " товарного " газа показатели в России и США практически сравнялись, а лидерство России в добыче (производстве) "сухого" газа во многом объясняется его нерациональным использованием.</w:t>
      </w:r>
    </w:p>
    <w:p w:rsidR="00220198" w:rsidRPr="00231348" w:rsidRDefault="00220198" w:rsidP="00CC4F7F">
      <w:pPr>
        <w:pStyle w:val="13"/>
        <w:rPr>
          <w:rStyle w:val="12"/>
          <w:b w:val="0"/>
          <w:i w:val="0"/>
          <w:sz w:val="32"/>
          <w:lang w:val="ru-RU"/>
        </w:rPr>
      </w:pP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</w:rPr>
      </w:pPr>
      <w:r w:rsidRPr="00CC4F7F">
        <w:rPr>
          <w:rStyle w:val="12"/>
          <w:b w:val="0"/>
          <w:i w:val="0"/>
          <w:sz w:val="28"/>
          <w:lang w:val="ru-RU"/>
        </w:rPr>
        <w:t xml:space="preserve">Между тем, в России имеется самая благоприятная в мире ресурсная база для развития газопереработки. </w:t>
      </w:r>
      <w:r w:rsidRPr="00CC4F7F">
        <w:rPr>
          <w:rStyle w:val="12"/>
          <w:b w:val="0"/>
          <w:i w:val="0"/>
          <w:sz w:val="28"/>
        </w:rPr>
        <w:t>Однако область переработки газа сохраняется стагнация.</w:t>
      </w:r>
    </w:p>
    <w:p w:rsidR="00220198" w:rsidRPr="00CC4F7F" w:rsidRDefault="00220198" w:rsidP="00CC4F7F">
      <w:pPr>
        <w:pStyle w:val="13"/>
        <w:rPr>
          <w:rStyle w:val="12"/>
          <w:b w:val="0"/>
          <w:i w:val="0"/>
          <w:sz w:val="28"/>
        </w:rPr>
      </w:pPr>
    </w:p>
    <w:p w:rsidR="00220198" w:rsidRPr="001C2A84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  <w:r w:rsidRPr="00231348">
        <w:rPr>
          <w:rStyle w:val="12"/>
          <w:b w:val="0"/>
          <w:i w:val="0"/>
          <w:sz w:val="28"/>
          <w:lang w:val="ru-RU"/>
        </w:rPr>
        <w:t>В настоящее время Россия сотрудничает в газовой отрасли с более чем 20 европейскими государствами, основная часть из них – это страны-члены Европейского Союза. Налажены деловые связи с Германией, Францией, Италией, Финляндией, Австрией.</w:t>
      </w:r>
      <w:r>
        <w:rPr>
          <w:rStyle w:val="12"/>
          <w:b w:val="0"/>
          <w:i w:val="0"/>
          <w:sz w:val="28"/>
          <w:lang w:val="ru-RU"/>
        </w:rPr>
        <w:t xml:space="preserve">  На данный момент э</w:t>
      </w:r>
      <w:r w:rsidRPr="00231348">
        <w:rPr>
          <w:rStyle w:val="12"/>
          <w:b w:val="0"/>
          <w:i w:val="0"/>
          <w:sz w:val="28"/>
          <w:lang w:val="ru-RU"/>
        </w:rPr>
        <w:t>нергетические компании европейских стран и России разрабатывают совместные проекты по добыче газа, транспортировке газа, сотрудничают в научно-технической и экологической сферах.</w:t>
      </w:r>
      <w:r>
        <w:rPr>
          <w:rStyle w:val="12"/>
          <w:b w:val="0"/>
          <w:i w:val="0"/>
          <w:sz w:val="28"/>
          <w:lang w:val="ru-RU"/>
        </w:rPr>
        <w:t xml:space="preserve"> </w:t>
      </w:r>
      <w:r w:rsidRPr="001C2A84">
        <w:rPr>
          <w:rStyle w:val="hlnormal"/>
          <w:bCs/>
          <w:sz w:val="28"/>
          <w:lang w:val="ru-RU"/>
        </w:rPr>
        <w:t>Долгосрочные контракты на поставку газа важны  для России как устойчивый источник доходов и основа развития сотрудничества между Германией, ЕС в целом и Россией</w:t>
      </w:r>
      <w:r w:rsidRPr="001C2A84">
        <w:rPr>
          <w:rStyle w:val="hlnormal"/>
          <w:sz w:val="28"/>
          <w:lang w:val="ru-RU"/>
        </w:rPr>
        <w:t>. В настоящее время “Газпром” располагает портфелем контрактов до 2020 г., которым обязуется поставить на экспорт 2,2 трлн. м</w:t>
      </w:r>
      <w:r w:rsidRPr="001C2A84">
        <w:rPr>
          <w:rStyle w:val="hlnormal"/>
          <w:sz w:val="28"/>
          <w:vertAlign w:val="superscript"/>
          <w:lang w:val="ru-RU"/>
        </w:rPr>
        <w:t>3</w:t>
      </w:r>
      <w:r w:rsidRPr="001C2A84">
        <w:rPr>
          <w:rStyle w:val="hlnormal"/>
          <w:sz w:val="28"/>
          <w:lang w:val="ru-RU"/>
        </w:rPr>
        <w:t xml:space="preserve"> газа на сумму 250 млрд. долл. К 2008 г. в соответствии с ранее заключенными контрактами, “Газпром” должен поставлять газ в Европу около 180 млрд. м</w:t>
      </w:r>
      <w:r w:rsidRPr="001C2A84">
        <w:rPr>
          <w:rStyle w:val="hlnormal"/>
          <w:sz w:val="28"/>
          <w:vertAlign w:val="superscript"/>
          <w:lang w:val="ru-RU"/>
        </w:rPr>
        <w:t>3</w:t>
      </w:r>
      <w:r w:rsidRPr="001C2A84">
        <w:rPr>
          <w:rStyle w:val="hlnormal"/>
          <w:sz w:val="28"/>
          <w:lang w:val="ru-RU"/>
        </w:rPr>
        <w:t xml:space="preserve"> ежегодно. Увеличение потребления природного газа, а также необходимость диверсификации транспортных маршрутов в Европу требуют строительства новых магистральных газопроводов.</w:t>
      </w:r>
    </w:p>
    <w:p w:rsidR="00220198" w:rsidRDefault="00220198" w:rsidP="00CC4F7F">
      <w:pPr>
        <w:pStyle w:val="13"/>
        <w:rPr>
          <w:rStyle w:val="12"/>
          <w:b w:val="0"/>
          <w:i w:val="0"/>
          <w:sz w:val="28"/>
          <w:lang w:val="ru-RU"/>
        </w:rPr>
      </w:pPr>
    </w:p>
    <w:p w:rsidR="00220198" w:rsidRPr="00231348" w:rsidRDefault="00220198" w:rsidP="00CC4F7F">
      <w:pPr>
        <w:pStyle w:val="13"/>
        <w:rPr>
          <w:rStyle w:val="12"/>
          <w:b w:val="0"/>
          <w:i w:val="0"/>
          <w:sz w:val="32"/>
          <w:lang w:val="ru-RU"/>
        </w:rPr>
      </w:pPr>
      <w:r w:rsidRPr="00231348">
        <w:rPr>
          <w:rStyle w:val="12"/>
          <w:b w:val="0"/>
          <w:i w:val="0"/>
          <w:sz w:val="28"/>
          <w:lang w:val="ru-RU"/>
        </w:rPr>
        <w:t xml:space="preserve"> </w:t>
      </w:r>
      <w:r>
        <w:rPr>
          <w:rStyle w:val="12"/>
          <w:b w:val="0"/>
          <w:i w:val="0"/>
          <w:sz w:val="28"/>
          <w:lang w:val="ru-RU"/>
        </w:rPr>
        <w:t xml:space="preserve">И в заключении хотелось бы сказать ,что в России есть ещё много не открытых месторождений газа, недаром </w:t>
      </w:r>
      <w:r w:rsidRPr="00724666">
        <w:rPr>
          <w:sz w:val="28"/>
          <w:lang w:val="ru-RU"/>
        </w:rPr>
        <w:t>эксперты считают, что самые крупные газовые месторождения находятся не за Полярным кругом, а в городах и промышленных центрах России. И больше внимания уделять увеличению коэффициента извлечения нефти на разрабатываемых месторождениях и добыче низконапорного газа, введению в эксплуатацию мелких месторождений в традиционных регионах добычи. Кстати, там проще решать социально-бытовые вопросы, чем на Крайнем Севере. Правда тогда нужна иная структура отрасли - больше малых и средних компаний, осваивающих мелкие или сильно выработанные месторождения, не интересные российским ВИНК и "Газпрому"</w:t>
      </w:r>
      <w:r w:rsidRPr="00724666">
        <w:rPr>
          <w:lang w:val="ru-RU"/>
        </w:rPr>
        <w:t>.</w:t>
      </w:r>
      <w:r>
        <w:rPr>
          <w:lang w:val="ru-RU"/>
        </w:rPr>
        <w:t xml:space="preserve"> </w:t>
      </w:r>
      <w:r w:rsidRPr="0072466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з этого можно сделать вывод ,что </w:t>
      </w:r>
      <w:r w:rsidRPr="00724666">
        <w:rPr>
          <w:rStyle w:val="12"/>
          <w:b w:val="0"/>
          <w:i w:val="0"/>
          <w:sz w:val="28"/>
          <w:szCs w:val="28"/>
          <w:lang w:val="ru-RU"/>
        </w:rPr>
        <w:t>Россия</w:t>
      </w:r>
      <w:r w:rsidRPr="00231348">
        <w:rPr>
          <w:rStyle w:val="12"/>
          <w:b w:val="0"/>
          <w:i w:val="0"/>
          <w:sz w:val="32"/>
          <w:lang w:val="ru-RU"/>
        </w:rPr>
        <w:t xml:space="preserve"> </w:t>
      </w:r>
      <w:r w:rsidRPr="00231348">
        <w:rPr>
          <w:sz w:val="28"/>
          <w:lang w:val="ru-RU"/>
        </w:rPr>
        <w:t xml:space="preserve"> в силу размеров и геополитического наследия будет по-прежнему чрезвычайно важна для мирового сообщества</w:t>
      </w:r>
      <w:r>
        <w:rPr>
          <w:sz w:val="28"/>
          <w:lang w:val="ru-RU"/>
        </w:rPr>
        <w:t xml:space="preserve">, а следовательно и конкурентоспособной. </w:t>
      </w:r>
    </w:p>
    <w:p w:rsidR="00220198" w:rsidRPr="00231348" w:rsidRDefault="00220198" w:rsidP="00CC4F7F">
      <w:pPr>
        <w:pStyle w:val="13"/>
        <w:rPr>
          <w:rStyle w:val="12"/>
          <w:b w:val="0"/>
          <w:i w:val="0"/>
          <w:sz w:val="32"/>
          <w:lang w:val="ru-RU"/>
        </w:rPr>
      </w:pPr>
      <w:bookmarkStart w:id="0" w:name="_GoBack"/>
      <w:bookmarkEnd w:id="0"/>
    </w:p>
    <w:sectPr w:rsidR="00220198" w:rsidRPr="00231348" w:rsidSect="00E2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18C"/>
    <w:rsid w:val="000A3767"/>
    <w:rsid w:val="00151A6E"/>
    <w:rsid w:val="001C2A84"/>
    <w:rsid w:val="00220198"/>
    <w:rsid w:val="00231348"/>
    <w:rsid w:val="003153CC"/>
    <w:rsid w:val="00317941"/>
    <w:rsid w:val="005D233A"/>
    <w:rsid w:val="00724666"/>
    <w:rsid w:val="00791687"/>
    <w:rsid w:val="009E69EC"/>
    <w:rsid w:val="00B171C5"/>
    <w:rsid w:val="00BA391C"/>
    <w:rsid w:val="00C0101F"/>
    <w:rsid w:val="00C603E6"/>
    <w:rsid w:val="00C8518C"/>
    <w:rsid w:val="00CC4F7F"/>
    <w:rsid w:val="00CD7DF8"/>
    <w:rsid w:val="00DC2F37"/>
    <w:rsid w:val="00E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20966-2BF9-471B-B761-AFD855D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7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C4F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4F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4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4F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4F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4F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C4F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C4F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C4F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C4F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CC4F7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Без інтервалів1"/>
    <w:basedOn w:val="a"/>
    <w:rsid w:val="00CC4F7F"/>
    <w:rPr>
      <w:szCs w:val="32"/>
    </w:rPr>
  </w:style>
  <w:style w:type="paragraph" w:styleId="HTML">
    <w:name w:val="HTML Preformatted"/>
    <w:basedOn w:val="a"/>
    <w:link w:val="HTML0"/>
    <w:semiHidden/>
    <w:rsid w:val="00C85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C8518C"/>
    <w:rPr>
      <w:rFonts w:ascii="Courier New" w:hAnsi="Courier New" w:cs="Courier New"/>
      <w:sz w:val="20"/>
      <w:szCs w:val="20"/>
      <w:lang w:val="x-none" w:eastAsia="ru-RU"/>
    </w:rPr>
  </w:style>
  <w:style w:type="character" w:styleId="a3">
    <w:name w:val="Strong"/>
    <w:basedOn w:val="a0"/>
    <w:qFormat/>
    <w:rsid w:val="00CC4F7F"/>
    <w:rPr>
      <w:rFonts w:cs="Times New Roman"/>
      <w:b/>
      <w:bCs/>
    </w:rPr>
  </w:style>
  <w:style w:type="paragraph" w:styleId="a4">
    <w:name w:val="Normal (Web)"/>
    <w:basedOn w:val="a"/>
    <w:rsid w:val="005D233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markersearch">
    <w:name w:val="marker_search"/>
    <w:basedOn w:val="a0"/>
    <w:rsid w:val="003153CC"/>
    <w:rPr>
      <w:rFonts w:cs="Times New Roman"/>
    </w:rPr>
  </w:style>
  <w:style w:type="character" w:styleId="a5">
    <w:name w:val="Hyperlink"/>
    <w:basedOn w:val="a0"/>
    <w:semiHidden/>
    <w:rsid w:val="003153CC"/>
    <w:rPr>
      <w:rFonts w:cs="Times New Roman"/>
      <w:color w:val="0000FF"/>
      <w:u w:val="single"/>
    </w:rPr>
  </w:style>
  <w:style w:type="character" w:customStyle="1" w:styleId="12">
    <w:name w:val="Назва книги1"/>
    <w:basedOn w:val="a0"/>
    <w:rsid w:val="00CC4F7F"/>
    <w:rPr>
      <w:rFonts w:ascii="Cambria" w:hAnsi="Cambria" w:cs="Times New Roman"/>
      <w:b/>
      <w:i/>
      <w:sz w:val="24"/>
      <w:szCs w:val="24"/>
    </w:rPr>
  </w:style>
  <w:style w:type="paragraph" w:customStyle="1" w:styleId="13">
    <w:name w:val="Абзац списку1"/>
    <w:basedOn w:val="a"/>
    <w:rsid w:val="00CC4F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locked/>
    <w:rsid w:val="00CC4F7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CC4F7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CC4F7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CC4F7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CC4F7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CC4F7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CC4F7F"/>
    <w:rPr>
      <w:rFonts w:ascii="Cambria" w:hAnsi="Cambria" w:cs="Times New Roman"/>
    </w:rPr>
  </w:style>
  <w:style w:type="paragraph" w:styleId="a6">
    <w:name w:val="caption"/>
    <w:basedOn w:val="a"/>
    <w:next w:val="a"/>
    <w:qFormat/>
    <w:rsid w:val="00CC4F7F"/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qFormat/>
    <w:rsid w:val="00CC4F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 Знак"/>
    <w:basedOn w:val="a0"/>
    <w:link w:val="a7"/>
    <w:locked/>
    <w:rsid w:val="00CC4F7F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CC4F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ідзаголовок Знак"/>
    <w:basedOn w:val="a0"/>
    <w:link w:val="a9"/>
    <w:locked/>
    <w:rsid w:val="00CC4F7F"/>
    <w:rPr>
      <w:rFonts w:ascii="Cambria" w:hAnsi="Cambria" w:cs="Times New Roman"/>
      <w:sz w:val="24"/>
      <w:szCs w:val="24"/>
    </w:rPr>
  </w:style>
  <w:style w:type="character" w:styleId="ab">
    <w:name w:val="Emphasis"/>
    <w:basedOn w:val="a0"/>
    <w:qFormat/>
    <w:rsid w:val="00CC4F7F"/>
    <w:rPr>
      <w:rFonts w:ascii="Calibri" w:hAnsi="Calibri" w:cs="Times New Roman"/>
      <w:b/>
      <w:i/>
      <w:iCs/>
    </w:rPr>
  </w:style>
  <w:style w:type="paragraph" w:customStyle="1" w:styleId="14">
    <w:name w:val="Цитата1"/>
    <w:basedOn w:val="a"/>
    <w:next w:val="a"/>
    <w:link w:val="QuoteChar"/>
    <w:rsid w:val="00CC4F7F"/>
    <w:rPr>
      <w:i/>
    </w:rPr>
  </w:style>
  <w:style w:type="character" w:customStyle="1" w:styleId="QuoteChar">
    <w:name w:val="Quote Char"/>
    <w:basedOn w:val="a0"/>
    <w:link w:val="14"/>
    <w:locked/>
    <w:rsid w:val="00CC4F7F"/>
    <w:rPr>
      <w:rFonts w:cs="Times New Roman"/>
      <w:i/>
      <w:sz w:val="24"/>
      <w:szCs w:val="24"/>
    </w:rPr>
  </w:style>
  <w:style w:type="paragraph" w:customStyle="1" w:styleId="15">
    <w:name w:val="Насичена цитата1"/>
    <w:basedOn w:val="a"/>
    <w:next w:val="a"/>
    <w:link w:val="IntenseQuoteChar"/>
    <w:rsid w:val="00CC4F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5"/>
    <w:locked/>
    <w:rsid w:val="00CC4F7F"/>
    <w:rPr>
      <w:rFonts w:cs="Times New Roman"/>
      <w:b/>
      <w:i/>
      <w:sz w:val="24"/>
    </w:rPr>
  </w:style>
  <w:style w:type="character" w:customStyle="1" w:styleId="16">
    <w:name w:val="Слабке виокремлення1"/>
    <w:rsid w:val="00CC4F7F"/>
    <w:rPr>
      <w:i/>
      <w:color w:val="5A5A5A"/>
    </w:rPr>
  </w:style>
  <w:style w:type="character" w:customStyle="1" w:styleId="17">
    <w:name w:val="Сильне виокремлення1"/>
    <w:basedOn w:val="a0"/>
    <w:rsid w:val="00CC4F7F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ке посилання1"/>
    <w:basedOn w:val="a0"/>
    <w:rsid w:val="00CC4F7F"/>
    <w:rPr>
      <w:rFonts w:cs="Times New Roman"/>
      <w:sz w:val="24"/>
      <w:szCs w:val="24"/>
      <w:u w:val="single"/>
    </w:rPr>
  </w:style>
  <w:style w:type="character" w:customStyle="1" w:styleId="19">
    <w:name w:val="Сильне посилання1"/>
    <w:basedOn w:val="a0"/>
    <w:rsid w:val="00CC4F7F"/>
    <w:rPr>
      <w:rFonts w:cs="Times New Roman"/>
      <w:b/>
      <w:sz w:val="24"/>
      <w:u w:val="single"/>
    </w:rPr>
  </w:style>
  <w:style w:type="paragraph" w:customStyle="1" w:styleId="1a">
    <w:name w:val="Заголовок змісту1"/>
    <w:basedOn w:val="1"/>
    <w:next w:val="a"/>
    <w:semiHidden/>
    <w:rsid w:val="00CC4F7F"/>
    <w:pPr>
      <w:outlineLvl w:val="9"/>
    </w:pPr>
  </w:style>
  <w:style w:type="character" w:customStyle="1" w:styleId="hlnormal">
    <w:name w:val="hlnormal"/>
    <w:basedOn w:val="a0"/>
    <w:rsid w:val="001C2A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Конкурентоспособность газовой промышленности в России</vt:lpstr>
    </vt:vector>
  </TitlesOfParts>
  <Company>Microsoft</Company>
  <LinksUpToDate>false</LinksUpToDate>
  <CharactersWithSpaces>10026</CharactersWithSpaces>
  <SharedDoc>false</SharedDoc>
  <HLinks>
    <vt:vector size="24" baseType="variant"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  <vt:variant>
        <vt:i4>2359407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http://ru.wikipedia.org/wiki/%D0%92%D0%92%D0%9F</vt:lpwstr>
      </vt:variant>
      <vt:variant>
        <vt:lpwstr/>
      </vt:variant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http://ru.wikipedia.org/wiki/%D0%AF%D0%BC%D0%B0%D0%BB%D0%BE-%D0%9D%D0%B5%D0%BD%D0%B5%D1%86%D0%BA%D0%B8%D0%B9_%D0%B0%D0%B2%D1%82%D0%BE%D0%BD%D0%BE%D0%BC%D0%BD%D1%8B%D0%B9_%D0%BE%D0%BA%D1%80%D1%83%D0%B3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Конкурентоспособность газовой промышленности в России</dc:title>
  <dc:subject/>
  <dc:creator>home</dc:creator>
  <cp:keywords/>
  <dc:description/>
  <cp:lastModifiedBy>Irina</cp:lastModifiedBy>
  <cp:revision>2</cp:revision>
  <dcterms:created xsi:type="dcterms:W3CDTF">2014-09-13T11:50:00Z</dcterms:created>
  <dcterms:modified xsi:type="dcterms:W3CDTF">2014-09-13T11:50:00Z</dcterms:modified>
</cp:coreProperties>
</file>