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8A9" w:rsidRDefault="00541F8A" w:rsidP="00541F8A">
      <w:pPr>
        <w:numPr>
          <w:ilvl w:val="0"/>
          <w:numId w:val="1"/>
        </w:numPr>
        <w:jc w:val="both"/>
        <w:rPr>
          <w:rFonts w:ascii="Academy" w:hAnsi="Academy"/>
          <w:b/>
          <w:sz w:val="30"/>
        </w:rPr>
      </w:pPr>
      <w:r>
        <w:rPr>
          <w:rFonts w:ascii="Academy" w:hAnsi="Academy"/>
          <w:b/>
          <w:sz w:val="30"/>
        </w:rPr>
        <w:t>Раскройте порядок рассмотрения Конституционным Судом РФ дел по спорам о компетенции.</w:t>
      </w:r>
    </w:p>
    <w:p w:rsidR="009358A9" w:rsidRDefault="009358A9" w:rsidP="00541F8A">
      <w:pPr>
        <w:numPr>
          <w:ilvl w:val="12"/>
          <w:numId w:val="0"/>
        </w:numPr>
        <w:ind w:firstLine="709"/>
        <w:jc w:val="both"/>
        <w:rPr>
          <w:rFonts w:ascii="Academy" w:hAnsi="Academy"/>
          <w:b/>
          <w:sz w:val="30"/>
        </w:rPr>
      </w:pPr>
    </w:p>
    <w:p w:rsidR="009358A9" w:rsidRDefault="00541F8A" w:rsidP="00541F8A">
      <w:pPr>
        <w:numPr>
          <w:ilvl w:val="12"/>
          <w:numId w:val="0"/>
        </w:numPr>
        <w:ind w:firstLine="709"/>
        <w:jc w:val="both"/>
        <w:rPr>
          <w:rFonts w:ascii="Academy" w:hAnsi="Academy"/>
          <w:b/>
          <w:sz w:val="30"/>
        </w:rPr>
      </w:pPr>
      <w:r>
        <w:rPr>
          <w:rFonts w:ascii="Academy" w:hAnsi="Academy"/>
          <w:sz w:val="30"/>
        </w:rPr>
        <w:t>В соответствии с Конституцией Российской Федерации и Федеральным Конституционным Законом «О конституционном суде» Конституционный Суд РФ в заседаниях палат разрешает споры о компетенции :</w:t>
      </w:r>
    </w:p>
    <w:p w:rsidR="009358A9" w:rsidRDefault="00541F8A" w:rsidP="00541F8A">
      <w:pPr>
        <w:numPr>
          <w:ilvl w:val="0"/>
          <w:numId w:val="2"/>
        </w:numPr>
        <w:jc w:val="both"/>
        <w:rPr>
          <w:rFonts w:ascii="Academy" w:hAnsi="Academy"/>
          <w:b/>
          <w:sz w:val="30"/>
        </w:rPr>
      </w:pPr>
      <w:r>
        <w:rPr>
          <w:rFonts w:ascii="Academy" w:hAnsi="Academy"/>
          <w:sz w:val="30"/>
        </w:rPr>
        <w:t>между федеральными органами государственной власти;</w:t>
      </w:r>
    </w:p>
    <w:p w:rsidR="009358A9" w:rsidRDefault="00541F8A" w:rsidP="00541F8A">
      <w:pPr>
        <w:numPr>
          <w:ilvl w:val="0"/>
          <w:numId w:val="2"/>
        </w:numPr>
        <w:jc w:val="both"/>
        <w:rPr>
          <w:rFonts w:ascii="Academy" w:hAnsi="Academy"/>
          <w:b/>
          <w:sz w:val="30"/>
        </w:rPr>
      </w:pPr>
      <w:r>
        <w:rPr>
          <w:rFonts w:ascii="Academy" w:hAnsi="Academy"/>
          <w:sz w:val="30"/>
        </w:rPr>
        <w:t>между органами государственной власти РФ и органами государственной власти субъектов РФ;</w:t>
      </w:r>
    </w:p>
    <w:p w:rsidR="009358A9" w:rsidRDefault="00541F8A" w:rsidP="00541F8A">
      <w:pPr>
        <w:numPr>
          <w:ilvl w:val="0"/>
          <w:numId w:val="2"/>
        </w:numPr>
        <w:jc w:val="both"/>
        <w:rPr>
          <w:rFonts w:ascii="Academy" w:hAnsi="Academy"/>
          <w:b/>
          <w:sz w:val="30"/>
        </w:rPr>
      </w:pPr>
      <w:r>
        <w:rPr>
          <w:rFonts w:ascii="Academy" w:hAnsi="Academy"/>
          <w:sz w:val="30"/>
        </w:rPr>
        <w:t>между высшими государственными органами субъектов РФ.</w:t>
      </w:r>
    </w:p>
    <w:p w:rsidR="009358A9" w:rsidRDefault="009358A9" w:rsidP="00541F8A">
      <w:pPr>
        <w:numPr>
          <w:ilvl w:val="12"/>
          <w:numId w:val="0"/>
        </w:numPr>
        <w:ind w:left="994"/>
        <w:jc w:val="both"/>
        <w:rPr>
          <w:rFonts w:ascii="Academy" w:hAnsi="Academy"/>
          <w:b/>
          <w:sz w:val="30"/>
        </w:rPr>
      </w:pPr>
    </w:p>
    <w:p w:rsidR="009358A9" w:rsidRDefault="00541F8A">
      <w:pPr>
        <w:ind w:firstLine="993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Принципами конституционного судоустройства являются: независимость, коллегиальность, гласность, устность разбирательства, язык конституционного судопроизводства - русский (участникам процесса, не владеющим русским языком, предоставляется право давать объяснения на другом языке и пользоваться услугами переводчика), непрерывность судебного заседания, состязательность и равноправие сторон.</w:t>
      </w:r>
    </w:p>
    <w:p w:rsidR="009358A9" w:rsidRDefault="00541F8A">
      <w:pPr>
        <w:ind w:firstLine="993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 xml:space="preserve">Правом на обращение в Конституционный Суд РФ с ходатайством о разрешении спора о компетенции обладает любой из участвующих в споре органов государственной власти, указанных в ст. 125 ч.3 Конституции РФ, а Президент РФ также в случае, предусмотренном ст. 85 ч. 1 Конституции РФ. </w:t>
      </w:r>
    </w:p>
    <w:p w:rsidR="009358A9" w:rsidRDefault="00541F8A">
      <w:pPr>
        <w:ind w:firstLine="993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Президент может использовать согласительные процедуры для разрешения разногласий между органами государственной власти РФ и органами государственной власти субъектов РФ, а также между органами государственной власти субъектов РФ. В случае недостижения согласованного решения он может передать разрешение спора на рассмотрение соответствующего суда.</w:t>
      </w:r>
    </w:p>
    <w:p w:rsidR="009358A9" w:rsidRDefault="00541F8A">
      <w:pPr>
        <w:ind w:firstLine="993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Ходатайство органа государственной власти допустимо, если :</w:t>
      </w:r>
    </w:p>
    <w:p w:rsidR="009358A9" w:rsidRDefault="00541F8A" w:rsidP="00541F8A">
      <w:pPr>
        <w:numPr>
          <w:ilvl w:val="0"/>
          <w:numId w:val="3"/>
        </w:numPr>
        <w:ind w:left="1276" w:hanging="283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оспариваемая компетенция определяется Конституцией РФ;</w:t>
      </w:r>
    </w:p>
    <w:p w:rsidR="009358A9" w:rsidRDefault="00541F8A" w:rsidP="00541F8A">
      <w:pPr>
        <w:numPr>
          <w:ilvl w:val="0"/>
          <w:numId w:val="3"/>
        </w:numPr>
        <w:ind w:left="1276" w:hanging="283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спор не касается вопроса о подведомственности дела судам или подсудности;</w:t>
      </w:r>
    </w:p>
    <w:p w:rsidR="009358A9" w:rsidRDefault="00541F8A" w:rsidP="00541F8A">
      <w:pPr>
        <w:numPr>
          <w:ilvl w:val="0"/>
          <w:numId w:val="3"/>
        </w:numPr>
        <w:ind w:left="1276" w:hanging="283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спор не был или не может быть разрешён иным способом;</w:t>
      </w:r>
    </w:p>
    <w:p w:rsidR="009358A9" w:rsidRDefault="00541F8A" w:rsidP="00541F8A">
      <w:pPr>
        <w:numPr>
          <w:ilvl w:val="0"/>
          <w:numId w:val="3"/>
        </w:numPr>
        <w:ind w:left="1276" w:hanging="283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заявитель считает издание акта или совершение действия правового характера либо уклонение от издания акта или совершения такого действия нарушением установленного Конституцией РФ разграничения компетенции между органами государственной власти;</w:t>
      </w:r>
    </w:p>
    <w:p w:rsidR="009358A9" w:rsidRDefault="00541F8A" w:rsidP="00541F8A">
      <w:pPr>
        <w:numPr>
          <w:ilvl w:val="0"/>
          <w:numId w:val="3"/>
        </w:numPr>
        <w:ind w:left="1276" w:hanging="283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заявитель ранее обращался к указанным в ст. 125 ч. 3  Конституции РФ органам государственной власти с письменным заявлением о нарушении ими определённой Конституцией РФ и договорами компетенции заявителя либо об уклонении этих органов от осуществления входящих в их компетенцию обязанностей;</w:t>
      </w:r>
    </w:p>
    <w:p w:rsidR="009358A9" w:rsidRDefault="00541F8A" w:rsidP="00541F8A">
      <w:pPr>
        <w:numPr>
          <w:ilvl w:val="0"/>
          <w:numId w:val="3"/>
        </w:numPr>
        <w:ind w:left="1276" w:hanging="283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в течении месяца со дня получения письменного заявления, органами государственной власти не были устранены указанные в нём нарушения;</w:t>
      </w:r>
    </w:p>
    <w:p w:rsidR="009358A9" w:rsidRDefault="00541F8A" w:rsidP="00541F8A">
      <w:pPr>
        <w:numPr>
          <w:ilvl w:val="0"/>
          <w:numId w:val="3"/>
        </w:numPr>
        <w:ind w:left="1276" w:hanging="283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в случае обращения соответствующего органа государственной власти к Президенту РФ с просьбой об использовании согласительных процедур, Президент РФ в течении месяца со дня обращения не использовал эти согласительные процедуры либо такие процедуры не привели к разрешению спора.</w:t>
      </w:r>
    </w:p>
    <w:p w:rsidR="009358A9" w:rsidRDefault="00541F8A">
      <w:pPr>
        <w:ind w:firstLine="993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Ходатайство Президента РФ, вынесенное в порядке применения ст. 85 ч. 1 Конституции РФ, допустимо, если :</w:t>
      </w:r>
    </w:p>
    <w:p w:rsidR="009358A9" w:rsidRDefault="00541F8A" w:rsidP="00541F8A">
      <w:pPr>
        <w:numPr>
          <w:ilvl w:val="0"/>
          <w:numId w:val="3"/>
        </w:numPr>
        <w:ind w:left="1276" w:hanging="283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Президент РФ использовал согласительные процедуры для разрешения разногласий между органами государственной власти;</w:t>
      </w:r>
    </w:p>
    <w:p w:rsidR="009358A9" w:rsidRDefault="00541F8A" w:rsidP="00541F8A">
      <w:pPr>
        <w:numPr>
          <w:ilvl w:val="0"/>
          <w:numId w:val="3"/>
        </w:numPr>
        <w:ind w:left="1276" w:hanging="283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разногласия между органами государственной власти являются подведомственным Конституционному Суду РФ спором о компетенции.</w:t>
      </w:r>
    </w:p>
    <w:p w:rsidR="009358A9" w:rsidRDefault="00541F8A">
      <w:pPr>
        <w:ind w:firstLine="993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Конституционный Суд РФ рассматривает споры о компетенции исключительно с точки зрения установленных Конституцией РФ разделения государственной власти на законодательную, исполнительную и судебную и разграничения компетенции между федеральными органами государственной власти, а также с точки зрения разграничения предметов ведения и полномочий между органами государственной власти РФ и органами государственной власти субъектов РФ, между высшими государственными органами субъектов РФ, установленного Конституцией РФ, Федеративным и иными договорами о разграничении предметов ведения и полномочий.</w:t>
      </w:r>
    </w:p>
    <w:p w:rsidR="009358A9" w:rsidRDefault="00541F8A">
      <w:pPr>
        <w:ind w:firstLine="993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Рассмотрение дела о соответствии нормативного акта, являющегося предметом спора о компетенции, Конституции РФ по содержанию норм, форме, порядку его подписания, принятия, опубликования или введения в действие возможно только на основании отдельного запроса и в соответствии с порядком рассмотрения дел о конституционности нормативных актов.</w:t>
      </w:r>
    </w:p>
    <w:p w:rsidR="009358A9" w:rsidRDefault="00541F8A">
      <w:pPr>
        <w:ind w:firstLine="993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Заседания палаты Конституционного Суда РФ созываются председательствующим в палате.</w:t>
      </w:r>
    </w:p>
    <w:p w:rsidR="009358A9" w:rsidRDefault="00541F8A">
      <w:pPr>
        <w:ind w:firstLine="993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В пленарных заседаниях Конституционного Суда РФ и заседаниях его палат применяется единый порядок рассмотрения вопросов, если иное не установлено Федеральным Конституционным Законом или Регламентом Конституционного Суда.</w:t>
      </w:r>
    </w:p>
    <w:p w:rsidR="009358A9" w:rsidRDefault="00541F8A">
      <w:pPr>
        <w:ind w:firstLine="993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Решение о назначении дел к слушанию в пленарном заседании или заседаниях палат принимается Конституционным Судом РФ в пленарном заседании не позднее чем через месяц после принятия обращений к рассмотрению. В решении указывается очерёдность слушания дел.</w:t>
      </w:r>
    </w:p>
    <w:p w:rsidR="009358A9" w:rsidRDefault="00541F8A">
      <w:pPr>
        <w:ind w:firstLine="993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Рассмотрение каждого дела образует предмет особого заседания. Конституционный Суд РФ может соединить в одном производстве дела по обращениям, касающиеся одного и того же предмета.</w:t>
      </w:r>
    </w:p>
    <w:p w:rsidR="009358A9" w:rsidRDefault="00541F8A">
      <w:pPr>
        <w:ind w:firstLine="993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Для подготовки дела к слушанию, составления проекта решения Конституционного Суда РФ, а также изложения материалов в заседании Конституционный Суд РФ назначает одного или нескольких судей-докладчиков.</w:t>
      </w:r>
    </w:p>
    <w:p w:rsidR="009358A9" w:rsidRDefault="00541F8A">
      <w:pPr>
        <w:ind w:firstLine="993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Требования Конституционного Суда РФ о предоставлении текстов нормативных и других правовых актов, документов, их копий, дел, сведений и других материалов; о заверении документов и текстов, нормативных актов; о проведении проверок, исследований, экспертиз; об установлении определённых обстоятельств, о привлечении специалистов; о даче разъяснений, консультаций и об изложении профессиональных мнений по рассматриваемым делам, обязательны для всех органов, организаций и лиц, которым они адресованы. Требования Конституционного Суда РФ должны быть рассмотрены и ответ по результатам их рассмотрения должен быть направлен  в течении месяца со дня получения, если иной срок не указан Конституционным Судом РФ.</w:t>
      </w:r>
    </w:p>
    <w:p w:rsidR="009358A9" w:rsidRDefault="00541F8A">
      <w:pPr>
        <w:ind w:firstLine="993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Уведомление о заседании Конституционного Суда РФ направляются судьям и участникам процесса не позднее чем за 10 дней до начала заседания.</w:t>
      </w:r>
    </w:p>
    <w:p w:rsidR="009358A9" w:rsidRDefault="00541F8A">
      <w:pPr>
        <w:ind w:firstLine="993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Объявление о заседаниях Конституционного Суда РФ помещаются в доступных для граждан местах занимаемого им здания, а также в средствах массовой информации.</w:t>
      </w:r>
    </w:p>
    <w:p w:rsidR="009358A9" w:rsidRDefault="00541F8A">
      <w:pPr>
        <w:ind w:firstLine="993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Участниками процесса в Конституционном Суде РФ считаются стороны, их представители, свидетели, эксперты, переводчики. Каждая из сторон может иметь не более трёх представителей. Стороны обладают равными процессуальными правами. Стороны и их представители вправе знакомиться с материалами дела, излагать свою позицию по делу, задавать вопросы другим участникам процесса, заявлять ходатайства, в том числе об отводе судьи. Сторона может представлять на обращение письменные отзывы, подлежащие приобщению к материалам дела, знакомиться с отзывами другой стороны.</w:t>
      </w:r>
    </w:p>
    <w:p w:rsidR="009358A9" w:rsidRDefault="00541F8A">
      <w:pPr>
        <w:ind w:firstLine="993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Стороны и их представители обязаны явиться по вызову Конституционного Суда РФ, дать объяснения и ответить на вопросы. Неявка стороны или её представителя на заседание Конституционного Суда РФ не препятствует рассмотрению дела, за исключением случая когда сторона ходатайствует о рассмотрении дела с её участием и подтверждает уважительную причину своего отсутствия.</w:t>
      </w:r>
    </w:p>
    <w:p w:rsidR="009358A9" w:rsidRDefault="00541F8A">
      <w:pPr>
        <w:ind w:firstLine="993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 xml:space="preserve">Заседания Конституционного Суда РФ проходят открыто, за исключением случаев, предусмотренных Федеральным Конституционным Законом. </w:t>
      </w:r>
    </w:p>
    <w:p w:rsidR="009358A9" w:rsidRDefault="00541F8A">
      <w:pPr>
        <w:ind w:firstLine="993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Конституционный Суд РФ назначает закрытое заседание в случаях, когда это необходимо для сохранения охраняемой законом тайны, обеспечения безопасности граждан, защиты общественной нравственности. Дела в закрытых заседаниях рассматриваются с соблюдением общих правил конституционного судопроизводства.</w:t>
      </w:r>
    </w:p>
    <w:p w:rsidR="009358A9" w:rsidRDefault="00541F8A">
      <w:pPr>
        <w:ind w:firstLine="993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В назначенное время председательствующий, удостоверившись в наличии кворума, открывает заседание Конституционного Суда РФ и сообщает, какое дело подлежит рассмотрению. Председательствующий удостоверяется в явке участников процесса, проверяет полномочия представителей сторон. Председательствующий разъясняет сторонам и их представителям их права и обязанности, а другим участникам процесса - их права, обязанности и ответственность.</w:t>
      </w:r>
    </w:p>
    <w:p w:rsidR="009358A9" w:rsidRDefault="00541F8A">
      <w:pPr>
        <w:ind w:firstLine="993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Председательствующий руководит заседанием, принимая необходимые меры к обеспечению установленного порядка разбирательства. Возражения кого-либо из участников процесса против распоряжений и действий председательствующего заносятся в протокол заседания. Распоряжения и действия председательствующего могут быть по предложению сторон или любого из судей пересмотрены Конституционным Судом РФ в том же заседании.</w:t>
      </w:r>
    </w:p>
    <w:p w:rsidR="009358A9" w:rsidRDefault="00541F8A">
      <w:pPr>
        <w:ind w:firstLine="993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В заседании Конституционного Суда РФ ведётся протокол, требования к которому устанавливаются Регламентом Конституционного Суда РФ. Стороны имеют право знакомиться с протоколом заседания и приносить на них свои замечания. Иные участники процесса имеют право знакомиться с протоколом заседания с разрешения Конституционного Суда РФ.</w:t>
      </w:r>
    </w:p>
    <w:p w:rsidR="009358A9" w:rsidRDefault="00541F8A">
      <w:pPr>
        <w:ind w:firstLine="993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Исследование по существу рассматриваемого в заседании дела начинаются с сообщения судьи-докладчика о поводах и основаниях к его рассмотрению, существе вопроса, содержании, имеющихся материалов и мерах, предпринятых по подготовке дела к рассмотрению. Судье-докладчику могут быть заданы вопросы другими судьями Конституционного Суда РФ. По окончании выступления судьи-докладчика Конституционный Суд РФ заслушивает предложения сторон и принимает решение о порядке исследования вопросов дела. Установленный решением суда порядок рассмотрения может быть изменён только самим судом.</w:t>
      </w:r>
    </w:p>
    <w:p w:rsidR="009358A9" w:rsidRDefault="00541F8A">
      <w:pPr>
        <w:ind w:firstLine="993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Заявленные в ходе рассмотрения дела предложения судей Конституционного Суда рассматриваются безотлагательно.</w:t>
      </w:r>
    </w:p>
    <w:p w:rsidR="009358A9" w:rsidRDefault="00541F8A">
      <w:pPr>
        <w:ind w:firstLine="993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В соответствии с порядком, установленным решением Конституционного Суда РФ, председательствующий в заседании предлагает сторонам дать пояснения по существу рассматриваемого вопроса и привести правовые аргументы в обоснование своей позиции. В случае, когда позиция стороны отстаивается несколькими её представителями, последовательность и объём их выступлений определяются данной стороной. Стороны и их представители не вправе использовать свои выступления для политических заявлений и деклараций и не должны допускать оскорбительных высказываний в адрес государственных органов, общественных объединений, участников процесса, должностных лиц и граждан. Объяснение стороны выслушивается Конституционным Судом РФ в полном объёме. После объяснения стороны ей могут быть заданы вопросы судьями Конституционного Суда РФ и другой стороной, а с разрешения Суда - экспертами.</w:t>
      </w:r>
    </w:p>
    <w:p w:rsidR="009358A9" w:rsidRDefault="00541F8A">
      <w:pPr>
        <w:ind w:firstLine="993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Вопросы, по которым экспертом должно быть дано заключение, определяются судьёй-докладчиком либо Конституционным Судом РФ. Эксперт перед выступлением приводится к присяге и предупреждается об ответственности за дачу заведомо ложных заключений. После изложения заключения эксперт обязан ответить на дополнительные вопросы.</w:t>
      </w:r>
    </w:p>
    <w:p w:rsidR="009358A9" w:rsidRDefault="00541F8A">
      <w:pPr>
        <w:ind w:firstLine="993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При необходимости исследования фактических обстоятельств, установление которых отнесено к ведению Конституционного Суда РФ, в заседание могут быть вызваны в качестве свидетелей лица, располагающие сведениями материалами о таких обстоятельствах. Свидетель перед заслушиванием его показаний приводится к присяге и предупреждается об ответственности за дачу заведомо ложных показаний. Свидетель обязан сообщить Конституционному Суду РФ обстоятельства, касающиеся существа рассматриваемого дела , которые известны ему лично и ответить на дополнительные вопросы. При необходимости он может пользоваться письменными заметками и другими материалами.</w:t>
      </w:r>
    </w:p>
    <w:p w:rsidR="009358A9" w:rsidRDefault="00541F8A">
      <w:pPr>
        <w:ind w:firstLine="993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В заседании Конституционного Суда РФ могут быть оглашены только те документы, подлинность которых не вызывает сомнений. Исследованные документы подлежат приобщению к материалам дела.</w:t>
      </w:r>
    </w:p>
    <w:p w:rsidR="009358A9" w:rsidRDefault="00541F8A">
      <w:pPr>
        <w:ind w:firstLine="993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По окончании судебного исследования заслушиваются заключительные выступления сторон. В своих заключительных выступлениях стороны не в праве ссылаться на документы и обстоятельства, не исследованные Конституционным Судом РФ.</w:t>
      </w:r>
    </w:p>
    <w:p w:rsidR="009358A9" w:rsidRDefault="00541F8A">
      <w:pPr>
        <w:ind w:firstLine="993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Если после заключительного выступления сторон Конституционный Суд  РФ признает необходимость выяснить дополнительные обстоятельства, имеющие существенное значение для разрешения дела или исследовать новые доказательства, он выносит решение о возобновлении рассмотрения вопроса. По окончании дополнительного исследования стороны имеют право на повторные заключительные выступления, но лишь в связи с новыми обстоятельствами и доказательствами.</w:t>
      </w:r>
    </w:p>
    <w:p w:rsidR="009358A9" w:rsidRDefault="00541F8A">
      <w:pPr>
        <w:ind w:firstLine="993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После признания Конституционным Судом РФ исследования вопросов дела завершённым председательствующий в заседании объявляет об окончании слушания дела.</w:t>
      </w:r>
    </w:p>
    <w:p w:rsidR="009358A9" w:rsidRDefault="00541F8A">
      <w:pPr>
        <w:ind w:firstLine="993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Итоговое решение по рассматриваемому делу принимается Конституционным Судом РФ в закрытом совещании, в котором участвуют только судьи, рассматривающие данное дело.</w:t>
      </w:r>
    </w:p>
    <w:p w:rsidR="009358A9" w:rsidRDefault="00541F8A">
      <w:pPr>
        <w:ind w:firstLine="993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Итоговое решение Конституционного Суда РФ по вопросам о спорах о компетенции именуется постановлением. Постановления выносятся именем Российской Федерации.</w:t>
      </w:r>
    </w:p>
    <w:p w:rsidR="009358A9" w:rsidRDefault="00541F8A">
      <w:pPr>
        <w:ind w:firstLine="993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По итогам рассмотрения споров о компетенции Конституционный Суд РФ выносит одно из следующих решений :</w:t>
      </w:r>
    </w:p>
    <w:p w:rsidR="009358A9" w:rsidRDefault="00541F8A" w:rsidP="00541F8A">
      <w:pPr>
        <w:numPr>
          <w:ilvl w:val="0"/>
          <w:numId w:val="3"/>
        </w:numPr>
        <w:tabs>
          <w:tab w:val="left" w:pos="1276"/>
        </w:tabs>
        <w:ind w:left="1276" w:hanging="283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подтверждающее полномочие соответствующего органа государственной власти издать акт или совершить действие правового характера, послужившие причиной спора о компетенции;</w:t>
      </w:r>
    </w:p>
    <w:p w:rsidR="009358A9" w:rsidRDefault="00541F8A" w:rsidP="00541F8A">
      <w:pPr>
        <w:numPr>
          <w:ilvl w:val="0"/>
          <w:numId w:val="3"/>
        </w:numPr>
        <w:tabs>
          <w:tab w:val="left" w:pos="1276"/>
        </w:tabs>
        <w:ind w:left="1276" w:hanging="283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отрицающее полномочие соответствующего органа государственной власти издать акт или совершить действие правового характера, послужившее причиной спора о компетенции.</w:t>
      </w:r>
    </w:p>
    <w:p w:rsidR="009358A9" w:rsidRDefault="00541F8A">
      <w:pPr>
        <w:ind w:firstLine="993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В случае, если Конституционный Суд РФ признает издание акта не входящим в компетенцию издавшего его органа государственной власти, акт утрачивает силу со дня, указанного в решении.</w:t>
      </w:r>
    </w:p>
    <w:p w:rsidR="009358A9" w:rsidRDefault="00541F8A">
      <w:pPr>
        <w:ind w:firstLine="993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Решение Конституционного Суда РФ принимается открытым голосованием путём поимённого опроса судей, большинством голосов. Решение провозглашается в полном объёме в открытом заседании немедленно после его подписания. Решение Конституционного Суда РФ окончательно, не подлежит обжалованию и вступает в силу немедленно после его провозглашения. Решение подлежит немедленному исполнению после его опубликования либо вручения его официального текста, если иные сроки специально в нём не оговорены. Решение Конституционного Суда РФ может быть официально разъяснено только самим Конституционным Судом РФ в пленарном заседании или заседании палаты, принявшей это решение, по ходатайству органов или лиц имеющих право на обращение в Конституционный Суд РФ, других органов и лиц, которым оно направлено.</w:t>
      </w:r>
    </w:p>
    <w:p w:rsidR="009358A9" w:rsidRDefault="009358A9">
      <w:pPr>
        <w:ind w:firstLine="993"/>
        <w:jc w:val="both"/>
        <w:rPr>
          <w:rFonts w:ascii="Academy" w:hAnsi="Academy"/>
          <w:b/>
          <w:sz w:val="30"/>
        </w:rPr>
      </w:pPr>
    </w:p>
    <w:p w:rsidR="009358A9" w:rsidRDefault="00541F8A" w:rsidP="00541F8A">
      <w:pPr>
        <w:numPr>
          <w:ilvl w:val="0"/>
          <w:numId w:val="4"/>
        </w:numPr>
        <w:jc w:val="both"/>
        <w:rPr>
          <w:rFonts w:ascii="Academy" w:hAnsi="Academy"/>
          <w:b/>
          <w:sz w:val="30"/>
        </w:rPr>
      </w:pPr>
      <w:r>
        <w:rPr>
          <w:rFonts w:ascii="Academy" w:hAnsi="Academy"/>
          <w:b/>
          <w:sz w:val="30"/>
        </w:rPr>
        <w:t>Какие требования предъявляются к проведению агитации по вопросам, вынесенным на референдум Российской Федерации ?</w:t>
      </w:r>
    </w:p>
    <w:p w:rsidR="009358A9" w:rsidRDefault="009358A9">
      <w:pPr>
        <w:jc w:val="both"/>
        <w:rPr>
          <w:rFonts w:ascii="Academy" w:hAnsi="Academy"/>
          <w:b/>
          <w:sz w:val="30"/>
        </w:rPr>
      </w:pPr>
    </w:p>
    <w:p w:rsidR="009358A9" w:rsidRDefault="00541F8A">
      <w:pPr>
        <w:ind w:firstLine="993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В соответствии с Законом РФ «О референдуме Российской Федерации» граждане РФ, общественные объединения вправе в любых допускаемых законом формах и законными методами беспрепятственно вести агитацию за или против проведения референдума РФ, за или против участия в референдуме РФ, за или против законопроекта, действующего закона или иного вопроса, выносимого на референдум РФ.</w:t>
      </w:r>
    </w:p>
    <w:p w:rsidR="009358A9" w:rsidRDefault="00541F8A">
      <w:pPr>
        <w:ind w:firstLine="993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Не допускаются пропаганда или агитация, возбуждающие социальную, расовую, национальную или религиозную ненависть и вражду. Запрещается пропаганда социального, расового, национального религиозного или языкового превосходства.</w:t>
      </w:r>
    </w:p>
    <w:p w:rsidR="009358A9" w:rsidRDefault="00541F8A">
      <w:pPr>
        <w:ind w:firstLine="993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Запрещается проводить агитацию, распространять любые агитационные материалы :</w:t>
      </w:r>
    </w:p>
    <w:p w:rsidR="009358A9" w:rsidRDefault="00541F8A" w:rsidP="00541F8A">
      <w:pPr>
        <w:numPr>
          <w:ilvl w:val="0"/>
          <w:numId w:val="3"/>
        </w:numPr>
        <w:ind w:left="1276" w:hanging="283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федеральным органам государственной власти, органам государственной власти субъектов РФ, органам местного самоуправления, а также их должностным лицам при исполнении служебных обязанностей;</w:t>
      </w:r>
    </w:p>
    <w:p w:rsidR="009358A9" w:rsidRDefault="00541F8A" w:rsidP="00541F8A">
      <w:pPr>
        <w:numPr>
          <w:ilvl w:val="0"/>
          <w:numId w:val="3"/>
        </w:numPr>
        <w:ind w:left="1276" w:hanging="283"/>
        <w:jc w:val="both"/>
        <w:rPr>
          <w:rFonts w:ascii="Academy" w:hAnsi="Academy"/>
          <w:b/>
          <w:sz w:val="30"/>
        </w:rPr>
      </w:pPr>
      <w:r>
        <w:rPr>
          <w:rFonts w:ascii="Academy" w:hAnsi="Academy"/>
          <w:sz w:val="30"/>
        </w:rPr>
        <w:t>воинским частям, военным учреждениям и организациям;</w:t>
      </w:r>
    </w:p>
    <w:p w:rsidR="009358A9" w:rsidRDefault="00541F8A" w:rsidP="00541F8A">
      <w:pPr>
        <w:numPr>
          <w:ilvl w:val="0"/>
          <w:numId w:val="3"/>
        </w:numPr>
        <w:ind w:left="1276" w:hanging="283"/>
        <w:jc w:val="both"/>
        <w:rPr>
          <w:rFonts w:ascii="Academy" w:hAnsi="Academy"/>
          <w:b/>
          <w:sz w:val="30"/>
        </w:rPr>
      </w:pPr>
      <w:r>
        <w:rPr>
          <w:rFonts w:ascii="Academy" w:hAnsi="Academy"/>
          <w:sz w:val="30"/>
        </w:rPr>
        <w:t>благотворительным организациям и религиозным объединениям;</w:t>
      </w:r>
    </w:p>
    <w:p w:rsidR="009358A9" w:rsidRDefault="00541F8A" w:rsidP="00541F8A">
      <w:pPr>
        <w:numPr>
          <w:ilvl w:val="0"/>
          <w:numId w:val="3"/>
        </w:numPr>
        <w:ind w:left="1276" w:hanging="283"/>
        <w:jc w:val="both"/>
        <w:rPr>
          <w:rFonts w:ascii="Academy" w:hAnsi="Academy"/>
          <w:b/>
          <w:sz w:val="30"/>
        </w:rPr>
      </w:pPr>
      <w:r>
        <w:rPr>
          <w:rFonts w:ascii="Academy" w:hAnsi="Academy"/>
          <w:sz w:val="30"/>
        </w:rPr>
        <w:t>членам избирательных комиссий, членам комиссий по проведению референдума РФ.</w:t>
      </w:r>
    </w:p>
    <w:p w:rsidR="009358A9" w:rsidRDefault="00541F8A">
      <w:pPr>
        <w:ind w:firstLine="993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Агитация заканчивается в ноль часов по местному времени накануне дня, предшествующего дню проведения референдума РФ. В день проведения референдума и в день предшествующий ему агитация запрещается.</w:t>
      </w:r>
    </w:p>
    <w:p w:rsidR="009358A9" w:rsidRDefault="00541F8A">
      <w:pPr>
        <w:ind w:firstLine="993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Агитация может проводиться :</w:t>
      </w:r>
    </w:p>
    <w:p w:rsidR="009358A9" w:rsidRDefault="00541F8A" w:rsidP="00541F8A">
      <w:pPr>
        <w:numPr>
          <w:ilvl w:val="0"/>
          <w:numId w:val="5"/>
        </w:numPr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через средства массовой информации;</w:t>
      </w:r>
    </w:p>
    <w:p w:rsidR="009358A9" w:rsidRDefault="00541F8A" w:rsidP="00541F8A">
      <w:pPr>
        <w:numPr>
          <w:ilvl w:val="0"/>
          <w:numId w:val="5"/>
        </w:numPr>
        <w:jc w:val="both"/>
        <w:rPr>
          <w:rFonts w:ascii="Academy" w:hAnsi="Academy"/>
          <w:b/>
          <w:sz w:val="30"/>
        </w:rPr>
      </w:pPr>
      <w:r>
        <w:rPr>
          <w:rFonts w:ascii="Academy" w:hAnsi="Academy"/>
          <w:sz w:val="30"/>
        </w:rPr>
        <w:t>путём проведения различным мероприятий;</w:t>
      </w:r>
    </w:p>
    <w:p w:rsidR="009358A9" w:rsidRDefault="00541F8A" w:rsidP="00541F8A">
      <w:pPr>
        <w:numPr>
          <w:ilvl w:val="0"/>
          <w:numId w:val="5"/>
        </w:numPr>
        <w:jc w:val="both"/>
        <w:rPr>
          <w:rFonts w:ascii="Academy" w:hAnsi="Academy"/>
          <w:b/>
          <w:sz w:val="30"/>
        </w:rPr>
      </w:pPr>
      <w:r>
        <w:rPr>
          <w:rFonts w:ascii="Academy" w:hAnsi="Academy"/>
          <w:sz w:val="30"/>
        </w:rPr>
        <w:t>путём выпуска и распространения печатных, аудиовизуальных и иных агитационных материалов;</w:t>
      </w:r>
    </w:p>
    <w:p w:rsidR="009358A9" w:rsidRDefault="00541F8A" w:rsidP="00541F8A">
      <w:pPr>
        <w:numPr>
          <w:ilvl w:val="0"/>
          <w:numId w:val="5"/>
        </w:numPr>
        <w:jc w:val="both"/>
        <w:rPr>
          <w:rFonts w:ascii="Academy" w:hAnsi="Academy"/>
          <w:b/>
          <w:sz w:val="30"/>
        </w:rPr>
      </w:pPr>
      <w:r>
        <w:rPr>
          <w:rFonts w:ascii="Academy" w:hAnsi="Academy"/>
          <w:sz w:val="30"/>
        </w:rPr>
        <w:t>в иных не запрещённых законом формах.</w:t>
      </w:r>
    </w:p>
    <w:p w:rsidR="009358A9" w:rsidRDefault="00541F8A">
      <w:pPr>
        <w:ind w:firstLine="993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Запрещается проведение агитации, сопровождаемой предоставлением гражданам бесплатно или на льготных условиях товаров, услуг, ценных бумаг, а также выплатой денежных средств.</w:t>
      </w:r>
    </w:p>
    <w:p w:rsidR="009358A9" w:rsidRDefault="00541F8A">
      <w:pPr>
        <w:ind w:firstLine="993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Все агитационные печатные материалы должны содержать информацию об организациях и лицах, ответственных за их выпуск. Распространение анонимных агитационных материалов запрещено.</w:t>
      </w:r>
    </w:p>
    <w:p w:rsidR="009358A9" w:rsidRDefault="00541F8A">
      <w:pPr>
        <w:ind w:firstLine="993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Вывешивание агитационных материалов на памятниках, обелисках, зданиях, сооружениях и в помещениях, имеющих историческую, культурную или архитектурную ценность, а также в помещениях комиссий по проведению референдума РФ и в помещениях участков референдума РФ запрещается.</w:t>
      </w:r>
    </w:p>
    <w:p w:rsidR="009358A9" w:rsidRDefault="00541F8A">
      <w:pPr>
        <w:ind w:firstLine="993"/>
        <w:jc w:val="both"/>
        <w:rPr>
          <w:rFonts w:ascii="Academy" w:hAnsi="Academy"/>
          <w:b/>
          <w:sz w:val="30"/>
        </w:rPr>
      </w:pPr>
      <w:r>
        <w:rPr>
          <w:rFonts w:ascii="Academy" w:hAnsi="Academy"/>
          <w:sz w:val="30"/>
        </w:rPr>
        <w:t>Средства массовой информации, одним из учредителей которых являются государственные органы, предприятия, учреждения и организации либо которые полностью или частично финансируются за счёт государственных средств или средств местного самоуправления, обязаны обеспечить равные возможности для агитации за или против вопроса, вынесенного на референдум РФ.</w:t>
      </w:r>
    </w:p>
    <w:p w:rsidR="009358A9" w:rsidRDefault="009358A9">
      <w:pPr>
        <w:jc w:val="both"/>
        <w:rPr>
          <w:rFonts w:ascii="Academy" w:hAnsi="Academy"/>
          <w:b/>
          <w:sz w:val="30"/>
        </w:rPr>
      </w:pPr>
    </w:p>
    <w:p w:rsidR="009358A9" w:rsidRDefault="00541F8A">
      <w:pPr>
        <w:jc w:val="both"/>
        <w:rPr>
          <w:rFonts w:ascii="Academy" w:hAnsi="Academy"/>
          <w:b/>
          <w:sz w:val="30"/>
        </w:rPr>
      </w:pPr>
      <w:r>
        <w:rPr>
          <w:rFonts w:ascii="Academy" w:hAnsi="Academy"/>
          <w:b/>
          <w:sz w:val="30"/>
        </w:rPr>
        <w:t>3. Кто и каким образом может выдвигать кандидатов в депутаты Государственной Думы Федерального собрания РФ ?</w:t>
      </w:r>
    </w:p>
    <w:p w:rsidR="009358A9" w:rsidRDefault="009358A9">
      <w:pPr>
        <w:rPr>
          <w:b/>
          <w:sz w:val="30"/>
        </w:rPr>
      </w:pPr>
    </w:p>
    <w:p w:rsidR="009358A9" w:rsidRDefault="00541F8A">
      <w:pPr>
        <w:ind w:firstLine="709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На основании Закона РФ «О выборах депутатов Государственной Думы Федерального Собрания Российской Федерации», принятого Государственной Думой 9 июня 1995 года, депутаты Государственной Думы Федерального Собрания избираются гражданами Российской Федерации достигшими на день выборов 18-ти летнего возраста, на основе всеобщего равного и прямого избирательного права при тайном голосовании. Участие гражданина РФ в выборах является добровольным.</w:t>
      </w:r>
    </w:p>
    <w:p w:rsidR="009358A9" w:rsidRDefault="00541F8A">
      <w:pPr>
        <w:ind w:firstLine="709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Государственная Дума состоит из 450 депутатов - 225 депутатов избираются по одномандатным (один округ - один депутат) избирательным округам на основе единой нормы представительства избирателей на одномандатный избирательный округ и 225 депутатов избираются по федеральному избирательному округу пропорционально количеству голосов, поданных за федеральные списки кандидатов в депутаты, выдвинутые избирательными объединениями, избирательными блоками.</w:t>
      </w:r>
    </w:p>
    <w:p w:rsidR="009358A9" w:rsidRDefault="00541F8A">
      <w:pPr>
        <w:ind w:firstLine="709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Право выдвижения кандидатов в депутаты принадлежит непосредственно избирателям и избирательным объединениям, избирательным блокам. Выдвижение кандидатов в депутаты в одномандатных избирательных округах и федерального списка кандидатов в депутаты для баллотировки на выборах по федеральному избирательному округу производится на съезде (конференции) избирательного объединения с указанием избирательного округа, в котором будет баллотироваться каждый кандидат. Избирательное объединение, избирательный блок вправе выдвигать в одном избирательном округе не более одного кандидата.</w:t>
      </w:r>
    </w:p>
    <w:p w:rsidR="009358A9" w:rsidRDefault="00541F8A">
      <w:pPr>
        <w:ind w:firstLine="709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Решение о выдвижении кандидатов и федерального списка кандидатов принимается тайным голосованием.</w:t>
      </w:r>
    </w:p>
    <w:p w:rsidR="009358A9" w:rsidRDefault="00541F8A">
      <w:pPr>
        <w:ind w:firstLine="709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. Избирательное объединение, избирательный блок вправе выдвигать кандидатами в депутаты и в федеральный список кандидатов лиц, не являющихся членами входящих в них общественных объединений.</w:t>
      </w:r>
    </w:p>
    <w:p w:rsidR="009358A9" w:rsidRDefault="00541F8A">
      <w:pPr>
        <w:ind w:firstLine="709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Состав федерального списка кандидатов и порядок размещения в нём кандидатов определяются избирательным объединением, избирательным блоком. После представления федерального списка в Центральную избирательную комиссию Российской Федерации его состав и порядок размещения в нём кандидатов не могут быть изменены, за исключением изменений, вызываемых выбытием кандидатов.</w:t>
      </w:r>
    </w:p>
    <w:p w:rsidR="009358A9" w:rsidRDefault="00541F8A">
      <w:pPr>
        <w:ind w:firstLine="709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Общее число кандидатов, выдвигаемых избирательным объединением, избирательным блоком по федеральному списку, не может превышать 270 человек.</w:t>
      </w:r>
    </w:p>
    <w:p w:rsidR="009358A9" w:rsidRDefault="00541F8A">
      <w:pPr>
        <w:ind w:firstLine="709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Федеральный список кандидатов и список кандидатов, выдвинутых избирательным объединением, избирательным блоком по одномандатным избирательным округам, представляются уполномоченным представителем избирательного объединения, избирательного блока в Центральную избирательную комиссию Российской Федерации.</w:t>
      </w:r>
    </w:p>
    <w:p w:rsidR="009358A9" w:rsidRDefault="00541F8A">
      <w:pPr>
        <w:ind w:firstLine="709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Центральная избирательная комиссия Российской Федерации рассматривает в трёхдневный срок представленные документы и выдаёт представителю избирательного объединения, избирательного блока заверенные копии списков кандидатов либо мотивированное решение об отказе в выдаче таковых.</w:t>
      </w:r>
    </w:p>
    <w:p w:rsidR="009358A9" w:rsidRDefault="00541F8A">
      <w:pPr>
        <w:ind w:firstLine="709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Избирательное объединение, избирательный блок, выдвинувшие кандидатов в одномандатных избирательных округах, осуществляют сбор подписей избирателей соответствующего одномандатного избирательного округа в поддержку каждого кандидата в количестве не менее одного процента от общего числа избирателей данного избирательного округа. В поддержку федерального списка кандидатов необходимо собрать не менее 200 тысяч подписей избирателей.</w:t>
      </w:r>
    </w:p>
    <w:p w:rsidR="009358A9" w:rsidRDefault="00541F8A">
      <w:pPr>
        <w:ind w:firstLine="709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Подписи, собранные в поддержку кандидата, выдвинутого по одномандатному избирательному округу и зарегистрированного окружной избирательной комиссией, включаются Центральной избирательной комиссией в число подписей в поддержку федерального списка кандидатов.</w:t>
      </w:r>
    </w:p>
    <w:p w:rsidR="009358A9" w:rsidRDefault="00541F8A">
      <w:pPr>
        <w:ind w:firstLine="709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Право выдвинуть свою кандидатуру для баллотировки на выборах депутатов в Государственную Думу по одномандатному избирательному округу имеет каждый гражданин РФ, достигший на день выборов 21 года, а также избиратели по месту работы, учёбы и жительства на территории данного избирательного округа.</w:t>
      </w:r>
    </w:p>
    <w:p w:rsidR="009358A9" w:rsidRDefault="00541F8A">
      <w:pPr>
        <w:ind w:firstLine="709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Инициаторы сбора подписей в поддержку выдвижения кандидата по одномандатному избирательному округу уведомляют в письменной форме соответствующую окружную избирательную комиссию о своей инициативе.</w:t>
      </w:r>
    </w:p>
    <w:p w:rsidR="009358A9" w:rsidRDefault="00541F8A">
      <w:pPr>
        <w:ind w:firstLine="709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В поддержку кандидата должно быть собрано не менее одного процента подписей избирателей от общего числа избирателей данного избирательного округа.</w:t>
      </w:r>
    </w:p>
    <w:p w:rsidR="009358A9" w:rsidRDefault="009358A9">
      <w:pPr>
        <w:jc w:val="both"/>
        <w:rPr>
          <w:rFonts w:ascii="Academy" w:hAnsi="Academy"/>
          <w:sz w:val="30"/>
        </w:rPr>
      </w:pPr>
    </w:p>
    <w:p w:rsidR="009358A9" w:rsidRDefault="00541F8A" w:rsidP="00541F8A">
      <w:pPr>
        <w:numPr>
          <w:ilvl w:val="0"/>
          <w:numId w:val="6"/>
        </w:numPr>
        <w:jc w:val="both"/>
        <w:rPr>
          <w:rFonts w:ascii="Academy" w:hAnsi="Academy"/>
          <w:b/>
          <w:sz w:val="30"/>
        </w:rPr>
      </w:pPr>
      <w:r>
        <w:rPr>
          <w:rFonts w:ascii="Academy" w:hAnsi="Academy"/>
          <w:b/>
          <w:sz w:val="30"/>
        </w:rPr>
        <w:t>Супруги Зотовы, являющиеся гражданами РФ, подали заявление в орган внутренних дел по месту жительства о выходе из гражданства РФ в порядке регистрации. В обоснование своего заявления они представили документы, подтверждающие принадлежность к гражданству Бразилии своей внучки, достигшей 18-ти летнего возраста. Рассмотрев заявление и другие представленные документы, орган внутренних дел вынес 18.11.1995 года заключение об отказе в выходе из гражданства в порядке регистрации на том основании, что супруги Зотовы были лишены родительских прав в 1975 году.</w:t>
      </w:r>
    </w:p>
    <w:p w:rsidR="009358A9" w:rsidRDefault="00541F8A">
      <w:pPr>
        <w:ind w:firstLine="851"/>
        <w:jc w:val="both"/>
        <w:rPr>
          <w:rFonts w:ascii="Academy" w:hAnsi="Academy"/>
          <w:b/>
          <w:sz w:val="30"/>
        </w:rPr>
      </w:pPr>
      <w:r>
        <w:rPr>
          <w:rFonts w:ascii="Academy" w:hAnsi="Academy"/>
          <w:b/>
          <w:sz w:val="30"/>
        </w:rPr>
        <w:t>Дайте оценку действий супругов Зотовых, подавших заявление 12.05.1995 года, а также органа внутренних дел. Что следует предпринять заявителям для прекращения гражданства РФ ?</w:t>
      </w:r>
    </w:p>
    <w:p w:rsidR="009358A9" w:rsidRDefault="009358A9">
      <w:pPr>
        <w:jc w:val="both"/>
        <w:rPr>
          <w:rFonts w:ascii="Academy" w:hAnsi="Academy"/>
          <w:b/>
          <w:sz w:val="30"/>
        </w:rPr>
      </w:pPr>
    </w:p>
    <w:p w:rsidR="009358A9" w:rsidRDefault="00541F8A">
      <w:pPr>
        <w:ind w:firstLine="851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В соответствии с Законом РФ «О гражданстве» от 28 ноября 1991 года, выход из гражданства РФ в порядке регистрации возможен в том случае, если у лица, заявившего о намерении выйти из гражданства РФ, хотя бы один из родителей, супруг или ребёнок имеет иное гражданство либо если лицо выехало на постоянное место жительства в другое государство в установленном законом порядке. Таким образом супруги Зотовы в данном случае не имеют оснований для выхода из гражданства РФ.</w:t>
      </w:r>
    </w:p>
    <w:p w:rsidR="009358A9" w:rsidRDefault="00541F8A">
      <w:pPr>
        <w:ind w:firstLine="851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Орган внутренних дел в данном случае нарушил срок рассмотрения заявлений по вопросам гражданства, так как он не должен превышать шести месяцев. Также им неверно дано обоснование отказа в выходе из гражданства, так как выход из гражданства РФ не допускается или может быть отклонён:</w:t>
      </w:r>
    </w:p>
    <w:p w:rsidR="009358A9" w:rsidRDefault="00541F8A" w:rsidP="00541F8A">
      <w:pPr>
        <w:numPr>
          <w:ilvl w:val="0"/>
          <w:numId w:val="2"/>
        </w:numPr>
        <w:ind w:left="1134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после получения повестки о призыве на срочную или альтернативную службу;</w:t>
      </w:r>
    </w:p>
    <w:p w:rsidR="009358A9" w:rsidRDefault="00541F8A" w:rsidP="00541F8A">
      <w:pPr>
        <w:numPr>
          <w:ilvl w:val="0"/>
          <w:numId w:val="2"/>
        </w:numPr>
        <w:ind w:left="1134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если гражданин, ходатайствующий о выходе из гражданства РФ, привлечён в качестве обвиняемого по уголовному делу либо в отношении него имеется вступивший в законную силу и подлежащий исполнению обвинительный приговор суда.</w:t>
      </w:r>
    </w:p>
    <w:p w:rsidR="009358A9" w:rsidRDefault="00541F8A" w:rsidP="00541F8A">
      <w:pPr>
        <w:numPr>
          <w:ilvl w:val="0"/>
          <w:numId w:val="2"/>
        </w:numPr>
        <w:ind w:left="1134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если гражданин, ходатайствующий о выходе из гражданства РФ проживает или намеревается поселиться в стране, не связанной с РФ договорными обязательствами о правовой помощи, но имеет либо имущественные обязательства перед физическими или юридическими лицами, либо неисполненные обязанности перед государством.</w:t>
      </w:r>
    </w:p>
    <w:p w:rsidR="009358A9" w:rsidRDefault="00541F8A">
      <w:pPr>
        <w:ind w:firstLine="851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В данном случае супруги Зотовы могут обжаловать нарушение сроков рассмотрения заявления и решение органа внутренних дел вышестоящему органу, либо в суд. Для выхода из гражданства они могут:</w:t>
      </w:r>
    </w:p>
    <w:p w:rsidR="009358A9" w:rsidRDefault="00541F8A" w:rsidP="00541F8A">
      <w:pPr>
        <w:numPr>
          <w:ilvl w:val="0"/>
          <w:numId w:val="2"/>
        </w:numPr>
        <w:ind w:left="1134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подать ходатайство на имя Президента РФ;</w:t>
      </w:r>
    </w:p>
    <w:p w:rsidR="009358A9" w:rsidRDefault="00541F8A" w:rsidP="00541F8A">
      <w:pPr>
        <w:numPr>
          <w:ilvl w:val="0"/>
          <w:numId w:val="2"/>
        </w:numPr>
        <w:ind w:left="1134"/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уехать на постоянное место жительства в Бразилию и подать заявление о выходе из гражданства РФ в дипломатическое представительство РФ в Бразилии.</w:t>
      </w:r>
    </w:p>
    <w:p w:rsidR="009358A9" w:rsidRDefault="009358A9">
      <w:pPr>
        <w:jc w:val="both"/>
        <w:rPr>
          <w:rFonts w:ascii="Academy" w:hAnsi="Academy"/>
          <w:sz w:val="30"/>
        </w:rPr>
      </w:pPr>
    </w:p>
    <w:p w:rsidR="009358A9" w:rsidRDefault="009358A9">
      <w:pPr>
        <w:jc w:val="both"/>
        <w:rPr>
          <w:rFonts w:ascii="Academy" w:hAnsi="Academy"/>
          <w:sz w:val="30"/>
        </w:rPr>
      </w:pPr>
    </w:p>
    <w:p w:rsidR="009358A9" w:rsidRDefault="00541F8A">
      <w:pPr>
        <w:jc w:val="center"/>
        <w:rPr>
          <w:rFonts w:ascii="Academy" w:hAnsi="Academy"/>
          <w:b/>
          <w:sz w:val="30"/>
        </w:rPr>
      </w:pPr>
      <w:r>
        <w:rPr>
          <w:rFonts w:ascii="Academy" w:hAnsi="Academy"/>
          <w:b/>
          <w:sz w:val="30"/>
        </w:rPr>
        <w:t>Литература :</w:t>
      </w:r>
    </w:p>
    <w:p w:rsidR="009358A9" w:rsidRDefault="009358A9">
      <w:pPr>
        <w:jc w:val="center"/>
        <w:rPr>
          <w:rFonts w:ascii="Academy" w:hAnsi="Academy"/>
          <w:sz w:val="30"/>
        </w:rPr>
      </w:pPr>
    </w:p>
    <w:p w:rsidR="009358A9" w:rsidRDefault="00541F8A" w:rsidP="00541F8A">
      <w:pPr>
        <w:numPr>
          <w:ilvl w:val="0"/>
          <w:numId w:val="7"/>
        </w:numPr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Конституция Российской Федерации.</w:t>
      </w:r>
    </w:p>
    <w:p w:rsidR="009358A9" w:rsidRDefault="00541F8A" w:rsidP="00541F8A">
      <w:pPr>
        <w:numPr>
          <w:ilvl w:val="0"/>
          <w:numId w:val="7"/>
        </w:numPr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«О Конституционном Суде Российской Федерации». Федеральный Конституционный Закон от 24 июня 1994 года.</w:t>
      </w:r>
    </w:p>
    <w:p w:rsidR="009358A9" w:rsidRDefault="00541F8A" w:rsidP="00541F8A">
      <w:pPr>
        <w:numPr>
          <w:ilvl w:val="0"/>
          <w:numId w:val="7"/>
        </w:numPr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«О референдуме Российской Федерации». Федеральный Конституционный Закон от 07 июля 1995 года.</w:t>
      </w:r>
    </w:p>
    <w:p w:rsidR="009358A9" w:rsidRDefault="00541F8A" w:rsidP="00541F8A">
      <w:pPr>
        <w:numPr>
          <w:ilvl w:val="0"/>
          <w:numId w:val="7"/>
        </w:numPr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«О выборах депутатов Государственной Думы Федерального Собрания Российской Федерации». Федеральный закон Российской Федерации от 09 июня 1995 года.</w:t>
      </w:r>
    </w:p>
    <w:p w:rsidR="009358A9" w:rsidRDefault="00541F8A" w:rsidP="00541F8A">
      <w:pPr>
        <w:numPr>
          <w:ilvl w:val="0"/>
          <w:numId w:val="7"/>
        </w:numPr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«О гражданстве РСФСР». Закон Российской Советской Федеративной Социалистической Республики (с изменениями на 06 февраля 1995 года).</w:t>
      </w:r>
    </w:p>
    <w:p w:rsidR="009358A9" w:rsidRDefault="00541F8A" w:rsidP="00541F8A">
      <w:pPr>
        <w:numPr>
          <w:ilvl w:val="0"/>
          <w:numId w:val="7"/>
        </w:numPr>
        <w:jc w:val="both"/>
        <w:rPr>
          <w:rFonts w:ascii="Academy" w:hAnsi="Academy"/>
          <w:sz w:val="30"/>
        </w:rPr>
      </w:pPr>
      <w:r>
        <w:rPr>
          <w:rFonts w:ascii="Academy" w:hAnsi="Academy"/>
          <w:sz w:val="30"/>
        </w:rPr>
        <w:t>«Положение о порядке рассмотрения вопросов гражданства Российской Федерации» от 10 апреля 1992 года.</w:t>
      </w:r>
      <w:bookmarkStart w:id="0" w:name="_GoBack"/>
      <w:bookmarkEnd w:id="0"/>
    </w:p>
    <w:sectPr w:rsidR="009358A9">
      <w:headerReference w:type="default" r:id="rId7"/>
      <w:pgSz w:w="11907" w:h="16840"/>
      <w:pgMar w:top="1418" w:right="1134" w:bottom="1418" w:left="1418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8A9" w:rsidRDefault="00541F8A">
      <w:r>
        <w:separator/>
      </w:r>
    </w:p>
  </w:endnote>
  <w:endnote w:type="continuationSeparator" w:id="0">
    <w:p w:rsidR="009358A9" w:rsidRDefault="00541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Sorts">
    <w:charset w:val="02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charset w:val="00"/>
    <w:family w:val="auto"/>
    <w:pitch w:val="variable"/>
    <w:sig w:usb0="00000003" w:usb1="00000000" w:usb2="00000000" w:usb3="00000000" w:csb0="00000001" w:csb1="00000000"/>
  </w:font>
  <w:font w:name="TimesE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8A9" w:rsidRDefault="00541F8A">
      <w:r>
        <w:separator/>
      </w:r>
    </w:p>
  </w:footnote>
  <w:footnote w:type="continuationSeparator" w:id="0">
    <w:p w:rsidR="009358A9" w:rsidRDefault="00541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8A9" w:rsidRDefault="00541F8A">
    <w:pPr>
      <w:pStyle w:val="a7"/>
      <w:pBdr>
        <w:bottom w:val="single" w:sz="6" w:space="1" w:color="auto"/>
      </w:pBdr>
    </w:pPr>
    <w:r>
      <w:rPr>
        <w:u w:val="none"/>
      </w:rPr>
      <w:tab/>
      <w:t>Е.Стариченко  Курсовое задание по Конституционному праву России. Вариант 4.</w:t>
    </w:r>
    <w:r>
      <w:rPr>
        <w:u w:val="none"/>
      </w:rPr>
      <w:tab/>
    </w:r>
    <w:r>
      <w:rPr>
        <w:i w:val="0"/>
        <w:u w:val="none"/>
      </w:rPr>
      <w:tab/>
    </w:r>
    <w:r>
      <w:rPr>
        <w:rStyle w:val="a9"/>
        <w:i w:val="0"/>
        <w:u w:val="none"/>
      </w:rPr>
      <w:fldChar w:fldCharType="begin"/>
    </w:r>
    <w:r>
      <w:rPr>
        <w:rStyle w:val="a9"/>
        <w:i w:val="0"/>
        <w:u w:val="none"/>
      </w:rPr>
      <w:instrText xml:space="preserve"> PAGE </w:instrText>
    </w:r>
    <w:r>
      <w:rPr>
        <w:rStyle w:val="a9"/>
        <w:i w:val="0"/>
        <w:u w:val="none"/>
      </w:rPr>
      <w:fldChar w:fldCharType="separate"/>
    </w:r>
    <w:r>
      <w:rPr>
        <w:rStyle w:val="a9"/>
        <w:i w:val="0"/>
        <w:noProof/>
        <w:u w:val="none"/>
      </w:rPr>
      <w:t>1</w:t>
    </w:r>
    <w:r>
      <w:rPr>
        <w:rStyle w:val="a9"/>
        <w:i w:val="0"/>
        <w:u w:val="non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4A4786E"/>
    <w:lvl w:ilvl="0">
      <w:numFmt w:val="bullet"/>
      <w:lvlText w:val="*"/>
      <w:lvlJc w:val="left"/>
    </w:lvl>
  </w:abstractNum>
  <w:abstractNum w:abstractNumId="1">
    <w:nsid w:val="035B662B"/>
    <w:multiLevelType w:val="singleLevel"/>
    <w:tmpl w:val="B65A0D56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Academy" w:hAnsi="Academy" w:hint="default"/>
        <w:b w:val="0"/>
        <w:i w:val="0"/>
        <w:sz w:val="30"/>
        <w:u w:val="none"/>
      </w:rPr>
    </w:lvl>
  </w:abstractNum>
  <w:abstractNum w:abstractNumId="2">
    <w:nsid w:val="24D121BB"/>
    <w:multiLevelType w:val="singleLevel"/>
    <w:tmpl w:val="8E98FF5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cademy" w:hAnsi="Academy" w:hint="default"/>
        <w:b w:val="0"/>
        <w:i w:val="0"/>
        <w:sz w:val="30"/>
        <w:u w:val="none"/>
      </w:rPr>
    </w:lvl>
  </w:abstractNum>
  <w:abstractNum w:abstractNumId="3">
    <w:nsid w:val="4C0C2AAC"/>
    <w:multiLevelType w:val="singleLevel"/>
    <w:tmpl w:val="83DE561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cademy" w:hAnsi="Academy" w:hint="default"/>
        <w:b/>
        <w:i w:val="0"/>
        <w:sz w:val="30"/>
        <w:u w:val="none"/>
      </w:rPr>
    </w:lvl>
  </w:abstractNum>
  <w:abstractNum w:abstractNumId="4">
    <w:nsid w:val="4CB73F5D"/>
    <w:multiLevelType w:val="singleLevel"/>
    <w:tmpl w:val="B35AFC0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"/>
        <w:legacy w:legacy="1" w:legacySpace="0" w:legacyIndent="283"/>
        <w:lvlJc w:val="left"/>
        <w:pPr>
          <w:ind w:left="1277" w:hanging="283"/>
        </w:pPr>
        <w:rPr>
          <w:rFonts w:ascii="Monotype Sorts" w:hAnsi="Monotype Sorts" w:hint="default"/>
          <w:b w:val="0"/>
          <w:i w:val="0"/>
          <w:sz w:val="22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"/>
        <w:legacy w:legacy="1" w:legacySpace="0" w:legacyIndent="283"/>
        <w:lvlJc w:val="left"/>
        <w:rPr>
          <w:rFonts w:ascii="Monotype Sorts" w:hAnsi="Monotype Sorts" w:hint="default"/>
        </w:rPr>
      </w:lvl>
    </w:lvlOverride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"/>
        <w:legacy w:legacy="1" w:legacySpace="0" w:legacyIndent="283"/>
        <w:lvlJc w:val="left"/>
        <w:pPr>
          <w:ind w:left="1276" w:hanging="283"/>
        </w:pPr>
        <w:rPr>
          <w:rFonts w:ascii="Monotype Sorts" w:hAnsi="Monotype Sorts" w:hint="default"/>
          <w:b w:val="0"/>
          <w:i w:val="0"/>
          <w:u w:val="none"/>
        </w:rPr>
      </w:lvl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142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F8A"/>
    <w:rsid w:val="00131133"/>
    <w:rsid w:val="00541F8A"/>
    <w:rsid w:val="0093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35287-2534-42BE-BF4D-8ACD767A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0"/>
    <w:next w:val="2"/>
    <w:qFormat/>
    <w:pPr>
      <w:widowControl w:val="0"/>
      <w:spacing w:before="360" w:after="240"/>
      <w:outlineLvl w:val="0"/>
    </w:pPr>
    <w:rPr>
      <w:color w:val="000000"/>
      <w:sz w:val="44"/>
    </w:rPr>
  </w:style>
  <w:style w:type="paragraph" w:styleId="2">
    <w:name w:val="heading 2"/>
    <w:basedOn w:val="a"/>
    <w:next w:val="3"/>
    <w:qFormat/>
    <w:pPr>
      <w:keepNext/>
      <w:spacing w:before="240" w:after="240"/>
      <w:jc w:val="center"/>
      <w:outlineLvl w:val="1"/>
    </w:pPr>
    <w:rPr>
      <w:rFonts w:ascii="Arial" w:hAnsi="Arial"/>
      <w:b/>
      <w:color w:val="000000"/>
      <w:sz w:val="36"/>
    </w:rPr>
  </w:style>
  <w:style w:type="paragraph" w:styleId="3">
    <w:name w:val="heading 3"/>
    <w:basedOn w:val="a"/>
    <w:next w:val="4"/>
    <w:qFormat/>
    <w:pPr>
      <w:keepNext/>
      <w:spacing w:before="240" w:after="120"/>
      <w:jc w:val="center"/>
      <w:outlineLvl w:val="2"/>
    </w:pPr>
    <w:rPr>
      <w:rFonts w:ascii="Arial" w:hAnsi="Arial"/>
      <w:b/>
      <w:color w:val="000000"/>
      <w:sz w:val="32"/>
    </w:rPr>
  </w:style>
  <w:style w:type="paragraph" w:styleId="4">
    <w:name w:val="heading 4"/>
    <w:basedOn w:val="a"/>
    <w:next w:val="5"/>
    <w:qFormat/>
    <w:pPr>
      <w:keepNext/>
      <w:spacing w:before="120" w:after="120"/>
      <w:jc w:val="center"/>
      <w:outlineLvl w:val="3"/>
    </w:pPr>
    <w:rPr>
      <w:rFonts w:ascii="SchoolBook" w:hAnsi="SchoolBook"/>
      <w:b/>
      <w:color w:val="00FF00"/>
      <w:sz w:val="28"/>
    </w:rPr>
  </w:style>
  <w:style w:type="paragraph" w:styleId="5">
    <w:name w:val="heading 5"/>
    <w:basedOn w:val="a"/>
    <w:next w:val="a"/>
    <w:qFormat/>
    <w:pPr>
      <w:spacing w:before="240" w:after="120"/>
      <w:jc w:val="center"/>
      <w:outlineLvl w:val="4"/>
    </w:pPr>
    <w:rPr>
      <w:rFonts w:ascii="Arial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Основной -Arial"/>
    <w:basedOn w:val="a"/>
    <w:semiHidden/>
    <w:pPr>
      <w:spacing w:after="120"/>
      <w:ind w:firstLine="720"/>
      <w:jc w:val="both"/>
    </w:pPr>
    <w:rPr>
      <w:rFonts w:ascii="Arial" w:hAnsi="Arial"/>
      <w:sz w:val="22"/>
    </w:rPr>
  </w:style>
  <w:style w:type="paragraph" w:styleId="a0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customStyle="1" w:styleId="-5">
    <w:name w:val="Заголовок-5"/>
    <w:basedOn w:val="a"/>
    <w:next w:val="a4"/>
    <w:pPr>
      <w:spacing w:before="120" w:after="120"/>
      <w:jc w:val="center"/>
    </w:pPr>
    <w:rPr>
      <w:rFonts w:ascii="SchoolBook" w:hAnsi="SchoolBook"/>
      <w:sz w:val="28"/>
    </w:rPr>
  </w:style>
  <w:style w:type="paragraph" w:customStyle="1" w:styleId="a5">
    <w:name w:val="Определение"/>
    <w:basedOn w:val="a"/>
    <w:pPr>
      <w:keepLines/>
      <w:pBdr>
        <w:top w:val="single" w:sz="6" w:space="2" w:color="auto" w:shadow="1"/>
        <w:left w:val="single" w:sz="6" w:space="2" w:color="auto" w:shadow="1"/>
        <w:bottom w:val="single" w:sz="6" w:space="2" w:color="auto" w:shadow="1"/>
        <w:right w:val="single" w:sz="6" w:space="2" w:color="auto" w:shadow="1"/>
      </w:pBdr>
      <w:tabs>
        <w:tab w:val="left" w:pos="635"/>
        <w:tab w:val="left" w:pos="1204"/>
        <w:tab w:val="left" w:pos="2835"/>
        <w:tab w:val="left" w:pos="3402"/>
        <w:tab w:val="left" w:pos="6520"/>
        <w:tab w:val="left" w:pos="7087"/>
      </w:tabs>
      <w:suppressAutoHyphens/>
      <w:spacing w:after="60" w:line="240" w:lineRule="atLeast"/>
      <w:ind w:left="851" w:right="284" w:hanging="567"/>
      <w:jc w:val="both"/>
    </w:pPr>
    <w:rPr>
      <w:rFonts w:ascii="TimesET" w:hAnsi="TimesET"/>
    </w:rPr>
  </w:style>
  <w:style w:type="paragraph" w:customStyle="1" w:styleId="10">
    <w:name w:val="Список1"/>
    <w:basedOn w:val="a4"/>
    <w:pPr>
      <w:spacing w:after="60"/>
      <w:ind w:left="567" w:right="284" w:hanging="567"/>
    </w:pPr>
    <w:rPr>
      <w:rFonts w:ascii="Times New Roman" w:hAnsi="Times New Roman"/>
    </w:rPr>
  </w:style>
  <w:style w:type="paragraph" w:customStyle="1" w:styleId="List-Arial">
    <w:name w:val="List-Arial"/>
    <w:basedOn w:val="a"/>
    <w:pPr>
      <w:spacing w:after="120"/>
      <w:ind w:left="851" w:right="284" w:hanging="567"/>
      <w:jc w:val="both"/>
    </w:pPr>
    <w:rPr>
      <w:rFonts w:ascii="Arial" w:hAnsi="Arial"/>
    </w:rPr>
  </w:style>
  <w:style w:type="paragraph" w:customStyle="1" w:styleId="11">
    <w:name w:val="Основной текст1"/>
    <w:basedOn w:val="a"/>
    <w:pPr>
      <w:spacing w:before="60" w:after="60" w:line="240" w:lineRule="atLeast"/>
      <w:ind w:firstLine="567"/>
      <w:jc w:val="both"/>
    </w:pPr>
    <w:rPr>
      <w:sz w:val="20"/>
    </w:rPr>
  </w:style>
  <w:style w:type="paragraph" w:styleId="a6">
    <w:name w:val="List"/>
    <w:aliases w:val="Список-Arial"/>
    <w:basedOn w:val="a"/>
    <w:semiHidden/>
    <w:pPr>
      <w:spacing w:after="60"/>
      <w:ind w:left="567" w:hanging="567"/>
      <w:jc w:val="both"/>
    </w:pPr>
    <w:rPr>
      <w:rFonts w:ascii="Arial" w:hAnsi="Arial"/>
      <w:sz w:val="22"/>
    </w:rPr>
  </w:style>
  <w:style w:type="paragraph" w:customStyle="1" w:styleId="Body-11">
    <w:name w:val="Body-11"/>
    <w:basedOn w:val="11"/>
    <w:pPr>
      <w:spacing w:line="240" w:lineRule="auto"/>
    </w:pPr>
    <w:rPr>
      <w:sz w:val="22"/>
    </w:rPr>
  </w:style>
  <w:style w:type="paragraph" w:customStyle="1" w:styleId="Body-12">
    <w:name w:val="Body-12"/>
    <w:basedOn w:val="11"/>
    <w:rPr>
      <w:sz w:val="24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  <w:rPr>
      <w:rFonts w:ascii="Arial" w:hAnsi="Arial"/>
      <w:i/>
      <w:sz w:val="18"/>
      <w:u w:val="single"/>
    </w:rPr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</w:style>
  <w:style w:type="character" w:styleId="a9">
    <w:name w:val="page number"/>
    <w:basedOn w:val="a1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3529</Words>
  <Characters>20120</Characters>
  <Application>Microsoft Office Word</Application>
  <DocSecurity>0</DocSecurity>
  <Lines>167</Lines>
  <Paragraphs>47</Paragraphs>
  <ScaleCrop>false</ScaleCrop>
  <Company>ТОО "МАГИСТР"</Company>
  <LinksUpToDate>false</LinksUpToDate>
  <CharactersWithSpaces>23602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Борис Евгеньевич Стариченко</dc:creator>
  <cp:keywords/>
  <dc:description/>
  <cp:lastModifiedBy>admin</cp:lastModifiedBy>
  <cp:revision>2</cp:revision>
  <cp:lastPrinted>2097-05-11T17:09:00Z</cp:lastPrinted>
  <dcterms:created xsi:type="dcterms:W3CDTF">2014-02-03T10:37:00Z</dcterms:created>
  <dcterms:modified xsi:type="dcterms:W3CDTF">2014-02-03T10:37:00Z</dcterms:modified>
</cp:coreProperties>
</file>