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BA" w:rsidRDefault="009F5CB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Конституционные основы защиты трудовых и социальных прав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 закрепляет широкий перечень основных прав и свобод человека и гражданина, признание, соблюдение и защита которых является обязанностью государства. В их число входят также и важнейшие права в сфере труда и социального обеспечения, а именно: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свобода труда, право каждого свободно распоряжаться своими способностями к труду, выбирать род деятельности и профессию (статья 37, часть 1);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каждого на труд в условиях, отвечающих требованиям безопасности и гигиены (статья 37, часть 3);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вознаграждение за труд без какой бы то ни было дискриминации и не ниже установленного федеральным законом минимального размера оплаты труда (статья 37, часть 3);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защиту от безработицы (статья 37, часть 3);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индивидуальные и коллективные трудовые споры с использованием установленных федеральным законом способов их разрешения, включая и право на забастовку (статья 37, часть 4);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каждого на отдых, которое гарантируется всем работающим по трудовому договору установлением федеральным законом продолжительности рабочего времени, предоставлением выходных и праздничных дней, ежегодного оплачиваемого отпуска (статья 37, часть 5);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создавать профессиональные союзы для защиты своих интересов (статья 30, часть 1);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на социальное обеспечение по возрасту, в случае болезни, инвалидности, потери кормильца, для воспитания детей и в иных случаях, установленных федеральным законом (статья 39, часть 1).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Указанные права </w:t>
      </w:r>
      <w:r w:rsidRPr="00EF669C">
        <w:rPr>
          <w:color w:val="000000"/>
          <w:sz w:val="24"/>
          <w:szCs w:val="24"/>
        </w:rPr>
        <w:t>статья 2 Кодекса законов о труде</w:t>
      </w:r>
      <w:r>
        <w:rPr>
          <w:color w:val="000000"/>
          <w:sz w:val="24"/>
          <w:szCs w:val="24"/>
        </w:rPr>
        <w:t xml:space="preserve"> Российской Федерации относит к основным трудовым правам работников. Закрепление этих прав на конституционном уровне является свидетельством не только их значимости, но и дает возможность защищать такие права посредством конституционного правосудия, обеспечивающего защиту прав и свобод граждан от неконституционных законов.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защита осуществляется Конституционным Судом как в процедуре так называемого абстрактного нормоконтроля - при проверке конституционности законов и некоторых других нормативных актов, регулирующих права граждан, по запросам Президента Российской Федерации, палат парламента или 1/5 депутатов каждой палаты, Правительства, Верховного Суда и Высшего арбитражного Суда, органов законодательной и исполнительной власти субъектов Российской Федерации, так и при рассмотрении жалоб граждан, их объединений на нарушение прав и свобод законом, примененным или подлежащем применению в их конкретном деле, а также по запросам судов, которые обнаруживают неконституционность закона в ходе разрешения конкретных гражданских, административных и уголовных дел.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Вышеперечисленные права относятся к категории экономических и социальных прав (часто их называют правами "второго поколения"), которые обеспечивают свободу человека в экономической и социальной сферах и дают ему возможность защитить свои жизненные интересы. Эти права имеют особый характер. Их отличие от классических прав (личных и политических) заключается прежде всего в степени гарантированности и специфическом механизме правовой защиты. Прямое действие экономических и социальных прав зачастую объективно оказывается весьма относительным, поскольку для реализации гражданином таких прав недостаточно только одного их конституционного закрепления. Может ли, например, суд общей юрисдикции удовлетворить требование гражданина о назначении ему пособия в связи с болезнью, основываясь исключительно на положении части 1 </w:t>
      </w:r>
      <w:r w:rsidRPr="00EF669C">
        <w:rPr>
          <w:color w:val="000000"/>
          <w:sz w:val="24"/>
          <w:szCs w:val="24"/>
        </w:rPr>
        <w:t>статьи 39 Конституции Российской Федерации</w:t>
      </w:r>
      <w:r>
        <w:rPr>
          <w:color w:val="000000"/>
          <w:sz w:val="24"/>
          <w:szCs w:val="24"/>
        </w:rPr>
        <w:t xml:space="preserve"> о праве каждого на социальное обеспечение в случае болезни? Очевидно, что нет. Условия возникновения у определенного лица права на получение такого пособия, его размер, порядок предоставления и т.п., то есть конкретное содержание субъективного права определяется законодателем. Следовательно возможности защиты такого рода прав в значительной мере зависят от того как регулируется (конкретизируется) содержание этих прав в отраслевом законодательстве.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 осуществление гражданами многих экономических и социальных прав невозможно без соответствующих финансовых затрат со стороны государства. Поэтому определение законодателем конкретного содержания этих прав, его наполнение зависит от материальные возможности государства обеспечить их осуществление в полном объеме, от наличие у государства необходимых финансовых ресурсов.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закрепление на конституционном уровне экономических и социальных прав и свобод обязывает государство делать все необходимое для того, чтобы эти права не были лишь пустой декларацией. </w:t>
      </w:r>
      <w:r w:rsidRPr="00EF669C">
        <w:rPr>
          <w:color w:val="000000"/>
          <w:sz w:val="24"/>
          <w:szCs w:val="24"/>
        </w:rPr>
        <w:t>В Международном пакте об экономических, социальных и культурных правах</w:t>
      </w:r>
      <w:r>
        <w:rPr>
          <w:color w:val="000000"/>
          <w:sz w:val="24"/>
          <w:szCs w:val="24"/>
        </w:rPr>
        <w:t xml:space="preserve"> подчеркивается обязанность каждого государства, участвующего в Пакте, принять в максимальных пределах имеющихся ресурсов меры к тому, чтобы обеспечить полное осуществление признаваемых в Пакте прав всеми надлежащими способами, включая и принятие соответствующих законодательных актов.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Обеспечивая защиту от неконституционных законов в сфере труда и социального обеспечения, Конституционный Суд при вынесении решений основывается не только на положения тех статей Конституции Российской Федерации, в которых закрепляются основные трудовые и социальные права, но и на иных конституционных нормах и принципах и, в первую очередь, учитывает: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статьи 1 о том, что Российская Федерация является правовым государством, что предполагает обеспечение господства права и правовых законов, равной для всех свободы, формального (правового) равенства, гарантированность государством прав и свобод человека и гражданина;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статьи 2 о высшей ценности человека, его прав и свобод и обязанности государства признавать, соблюдать и защищать эти права и свободы;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статьи 7, устанавливающие, что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 и закрепляющие основные направления деятельности государства в социальной сфере, по социальной защите граждан, нуждающихся в поддержке общества и государства;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положения статьи 15 о приоритете правил международных договоров Российской Федерации в случае их расхождения с нормами национального законодательства и статьи 17 о признании и гарантированности прав и свобод человека и гражданина в Российской Федерации согласно общепризнанным принципам и нормам международного права и в соответствии с Конституцией. Следует подчеркнуть, что почти во всех своих решениях по данной категории дел Суд обращался к нормам международного права и при этом чаще всего в своей аргументации Суд ссылался на положения </w:t>
      </w:r>
      <w:r w:rsidRPr="00EF669C">
        <w:rPr>
          <w:color w:val="000000"/>
          <w:sz w:val="24"/>
          <w:szCs w:val="24"/>
        </w:rPr>
        <w:t>Всеобщей декларации прав человека 1948 года</w:t>
      </w:r>
      <w:r>
        <w:rPr>
          <w:color w:val="000000"/>
          <w:sz w:val="24"/>
          <w:szCs w:val="24"/>
        </w:rPr>
        <w:t xml:space="preserve">, </w:t>
      </w:r>
      <w:r w:rsidRPr="00EF669C">
        <w:rPr>
          <w:color w:val="000000"/>
          <w:sz w:val="24"/>
          <w:szCs w:val="24"/>
        </w:rPr>
        <w:t>Международного пакта об экономических, социальных и культурных правах 1966 года</w:t>
      </w:r>
      <w:r>
        <w:rPr>
          <w:color w:val="000000"/>
          <w:sz w:val="24"/>
          <w:szCs w:val="24"/>
        </w:rPr>
        <w:t xml:space="preserve">, </w:t>
      </w:r>
      <w:r w:rsidRPr="00EF669C">
        <w:rPr>
          <w:color w:val="000000"/>
          <w:sz w:val="24"/>
          <w:szCs w:val="24"/>
        </w:rPr>
        <w:t xml:space="preserve">Конвенций МОТ </w:t>
      </w:r>
      <w:r>
        <w:rPr>
          <w:color w:val="000000"/>
          <w:sz w:val="24"/>
          <w:szCs w:val="24"/>
        </w:rPr>
        <w:t>, ратифицированных нашим государством;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статьи 18 о том, что права и свободы человека и гражданина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положения статьи 19 о равенстве всех перед законом и судом и о равенстве прав и свобод человека и гражданина и, соответственно, запрете дискриминации по каким-либо основаниям;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статьи 45, предусматривающие, что в Российской Федерации гарантируется государственная защита прав и свобод человека и гражданина и каждый вправе защищать свои права и свободы всеми способами, не запрещенными законом, а также статьи 46 о гарантиях судебной защиты прав и свобод;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статьи 55, в соответствии с которыми в Российской Федерации не должны издаваться законы, отменяющие или умаляющие права и свободы человека и гражданина, а ограничения прав и свобод могут устанавливаться лишь федеральным законом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Конституционного Суда Российской Федерации по защите прав и свобод в сфере труда и социального обеспечения уже достаточно обширна. Судом рассмотрен ряд дел, связанных, в частности, с защитой от дискриминации в трудовых отношениях во возрастному признаку, обеспечением доступа к правосудию при разрешении трудовых споров, необоснованными запретами проведения забастовок для отдельных категорий работников при коллективных трудовых конфликтах, ограничением права на социальное обеспечение в случае болезни в период безработицы, лишением пенсий граждан, осужденных к лишению свободы по приговору суда, а также граждан, выехавших на постоянное жительство за пределы Российской Федерации. Анализ принятых решений позволяет делать некоторые обобщения правовых позиций Суда о содержании конкретных трудовых и социальных прав, закрепленных в Конституции, о степени свободы законодателя в регламентации этих прав, о возможностях и пределах защиты отдельных прав и свобод в области труда и социального обеспечения посредством конституционного судопроизводства, а также о влиянии решений Конституционного Суда на развитие законодательства в этой сфере.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хотелось бы проиллюстрировать сказанное некоторыми примерами из практики Конституционного Суда, рассказать о конкретных делах, рассмотренных Судом и связанных с защитой трудовых и социальных прав.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в Конституционный Суд обратились несколько граждан, осужденных к лишению свободы и находящихся в исправительно-трудовых учреждениях, с жалобами на нарушение их права на социальное обеспечение, гарантированного статьей 39 Конституции Российской Федерации, положением </w:t>
      </w:r>
      <w:r w:rsidRPr="00EF669C">
        <w:rPr>
          <w:color w:val="000000"/>
          <w:sz w:val="24"/>
          <w:szCs w:val="24"/>
        </w:rPr>
        <w:t>статьи 124</w:t>
      </w:r>
      <w:r>
        <w:rPr>
          <w:color w:val="000000"/>
          <w:sz w:val="24"/>
          <w:szCs w:val="24"/>
        </w:rPr>
        <w:t xml:space="preserve"> </w:t>
      </w:r>
      <w:r w:rsidRPr="00EF669C">
        <w:rPr>
          <w:color w:val="000000"/>
          <w:sz w:val="24"/>
          <w:szCs w:val="24"/>
        </w:rPr>
        <w:t>Закона РСФСР "О государственных пенсиях в РСФСР"</w:t>
      </w:r>
      <w:r>
        <w:rPr>
          <w:color w:val="000000"/>
          <w:sz w:val="24"/>
          <w:szCs w:val="24"/>
        </w:rPr>
        <w:t>. Этой статьей предусматривалось, что за время лишения пенсионера свободы по приговору суда выплата назначенной ему пенсии приостанавливается. На основании данной нормы заявителям в связи с осуждением к лишению свободы была приостановлена выплата пенсий по старости и по инвалидности, наступившей вследствие военной травмы, полученной в период прохождения военной службы. Надо сказать, что норма о приостановлении выплаты пенсии в подобных случаях была установлена достаточно давно и применялась в течение многих лет. Обосновывалось существование такого правила тем, что осужденные находятся на полном государственном обеспечении - их кормят, одевают, лечат, обеспечивают работой и потому государство вправе решать следует ли им в этот период еще и платить пенсию, тем более, что эти люди совершили преступление и следовательно, сами поставили себя в такие условия.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любого дела Конституционный Суд должен сначала выявить содержание оспариваемой нормы, принимая во внимание не только ее буквальный смысл, но и смысл, придаваемый ей официальным или иным толкованием, а также сложившейся правоприменительной практикой. Толкование статьи 124 Закона "О государственных пенсиях в РСФСР" и практика ее применения свидетельствовали , что фактически речь шла о прекращении как начисления, так и выплаты пенсии, которую пенсионер получал до осуждения. Подобное приостановление выплаты пенсии по своей сути и правовым последствиям было равнозначно лишению пенсии на определенный период в связи с лишением пенсионера свободы по приговору суда и нахождением его в исправительно-трудовом учреждении.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EF669C">
        <w:rPr>
          <w:color w:val="000000"/>
          <w:sz w:val="24"/>
          <w:szCs w:val="24"/>
        </w:rPr>
        <w:t xml:space="preserve">Конституционный Суд признал данное положение пенсионного закона о приостановлении выплаты трудовых пенсий за время лишения свободы не соответствующим Конституции Российской Федерации </w:t>
      </w:r>
      <w:r>
        <w:rPr>
          <w:color w:val="000000"/>
          <w:sz w:val="24"/>
          <w:szCs w:val="24"/>
        </w:rPr>
        <w:t>. Принимая такое решение Суд исходил прежде всего из правовой природы и сущности трудовых пенсий.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Действующая в Российской Федерации система пенсионного обеспечения построена таким образом, что права гражданина в области пенсионного обеспечения производны от его трудовой или иной общественно полезной деятельности. Именно труд и его оценка обществом предопределяет различия в условиях и нормах пенсионного обеспечения. Это находит свое отражение и в делении пенсий на два вида: трудовые пенсии (по старости, по инвалидности, по случаю потери кормильца, за выслугу лет) и социальные пенсии, назначаемые престарелым и нетрудоспособным гражданам при отсутствии у них права на трудовую пенсию с целью предоставить им минимальный источник средств к существованию.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Пенсии, назначаемые в связи с трудовой или иной деятельностью, которую законодатель признает общественно полезной, заработаны, заслужены предшествующим трудом, службой, выполнением определенных, значимых для общества обязанностей. Этим предопределяются содержание и характер обязанностей государства по отношению к гражданам, имеющим право на получение таких пенсий.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Лишение пенсионеров в период нахождения его в местах лишения свободы трудовой пенсии путем приостановления ее выплаты Суд расценил как ограничение конституционного права на социальное обеспечение, которое включает и право гражданина на получение пенсии в определенных законом случаях и размерах. Такое ограничение согласно </w:t>
      </w:r>
      <w:r w:rsidRPr="00EF669C">
        <w:rPr>
          <w:color w:val="000000"/>
          <w:sz w:val="24"/>
          <w:szCs w:val="24"/>
        </w:rPr>
        <w:t>статье 55 (часть 3) Конституции Российской Федерации</w:t>
      </w:r>
      <w:r>
        <w:rPr>
          <w:color w:val="000000"/>
          <w:sz w:val="24"/>
          <w:szCs w:val="24"/>
        </w:rPr>
        <w:t xml:space="preserve"> может быть установлено законодателем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Однако этим требованиям данное ограничение не отвечает.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Приостановление выплаты трудовой пенсии осужденным к лишению свободы по своей сути является дополнительным наказанием, хотя такие наказание уголовным законодательством не предусмотрено. Оно ограничивает и права иждивенцев пенсионера, для которых эта пенсия являлась источником средств к существованию. Ограничиваются при этом и права потерпевших от преступления, поскольку исключается возможность производить удержания из пенсии в возмещение причиненного преступлением ущерба.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касается социальных пенсий, то Суд не признал приостановление их выплаты в период лишения свободы нарушением конституционного права на социальное обеспечение. Это связано с тем, что назначение указанных пенсий - предоставить хотя бы минимальный источник средств к существованию; они не имеют какой-либо связи с трудовой или иной общественно полезной деятельности, выплачиваются за счет бюджетных средств и обязанность государства гарантировать выплату этих пенсий лицам, находящимся по приговору суда в местах лишения свободы, из Конституции Российской Федерации непосредственно не вытекает. Поэтому решение вопроса о том, должна ли выплачиваться социальная пенсия и в каком размере той или иной категории пенсионеров в период, когда этот источник средств к существованию заменяется для них другим и, следовательно, надобность в социальной пенсии отпадает, относится к компетенции законодателя.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заметить, что при внесении изменений в действующее законодательство в связи с признанием неконституционным приостановления </w:t>
      </w:r>
      <w:r w:rsidRPr="00EF669C">
        <w:rPr>
          <w:color w:val="000000"/>
          <w:sz w:val="24"/>
          <w:szCs w:val="24"/>
        </w:rPr>
        <w:t>выплаты трудовых пенсий в период лишения свободы, в Уголовно- исполнительном кодексе</w:t>
      </w:r>
      <w:r>
        <w:rPr>
          <w:color w:val="000000"/>
          <w:sz w:val="24"/>
          <w:szCs w:val="24"/>
        </w:rPr>
        <w:t xml:space="preserve"> было предусмотрено право осужденных на получение пенсий на общих основаниях, то есть не только трудовых, но и социальных пенсий.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позиции, касающиеся содержания конституционного права на социальное обеспечение и обязанностей государства по отношению лицам, которые приобрели права на получение пенсий, имеющих характер трудовых, сформулированные в указанном решении Конституционного Суда, в дальнейшем были развиты и дополнены при проверке конституционности норм, регламентирующих </w:t>
      </w:r>
      <w:r w:rsidRPr="00EF669C">
        <w:rPr>
          <w:color w:val="000000"/>
          <w:sz w:val="24"/>
          <w:szCs w:val="24"/>
        </w:rPr>
        <w:t>выплату пенсий гражданам, выехавшим на постоянное жительство за пределы Российской Федерации</w:t>
      </w:r>
      <w:r>
        <w:rPr>
          <w:color w:val="000000"/>
          <w:sz w:val="24"/>
          <w:szCs w:val="24"/>
        </w:rPr>
        <w:t>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дело рассматривалось Судом в связи с жалобами ряда граждан, проживающих в настоящее время в Израиле, ФРГ, Болгарии. В разные годы и по разным причинам они выехали на постоянное жительство в эти страны и в связи с этим им прекратили начисление и выплату пенсий по старости и за выслугу лет, несмотря на то, что они имели длительный трудовой стаж работы, значительно превышающий необходимый, некоторые из них являлись военными пенсионерами, участниками Великой Отечественной войны.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многих лет в Советском Союзе, а затем и в России действовало правило, согласно которому пенсионер при выезде на постоянное жительство за границу утрачивал право на получение пенсии; перед отъездом он получал пенсию за шесть месяцев вперед и на этом все пенсионные выплаты ему прекращались(следует заметить, что до 90-х годов эмигрантов лишали не только пенсий, но и гражданства, наград, принадлежащего им жилья).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 году был принят </w:t>
      </w:r>
      <w:r w:rsidRPr="00EF669C">
        <w:rPr>
          <w:color w:val="000000"/>
          <w:sz w:val="24"/>
          <w:szCs w:val="24"/>
        </w:rPr>
        <w:t>Закон Российской Федерации "О выплате пенсий гражданам, выезжающим на постоянное жительство за пределы Российской Федерации"</w:t>
      </w:r>
      <w:r>
        <w:rPr>
          <w:color w:val="000000"/>
          <w:sz w:val="24"/>
          <w:szCs w:val="24"/>
        </w:rPr>
        <w:t>, который установил, что пенсионер, постоянно проживающий за пределами Российской Федерации, имеет право получать назначенную ему пенсию в период проживания в другой стране и, в том числе, переводить пенсию за границу. Этот Закон был введен в действие с 1 июля 1993 года. Однако законодатель четко не определил распространяется ли Закон на тех лиц, которые уехали из России до этой даты, а также на лиц, получавших пенсию по нормам российского законодательства и за счет средств Российской Федерации(имелись в виду военные пенсионеры, проживавшие в странах Балтии), но выехавших в другую страну не с ее территории. В результате органами исполнительной власти и судами общей юрисдикции нормы Закона стали толковаться и применяться как относящиеся только к тем, кто выезжает исключительно из России и лишь после введения Закона в действие. В связи с этим заявителям, выехавшим на постоянное жительство за границу из России до 1993 года либо после этой даты, но не с территории Российской Федерации, было отказано в возобновлении выплаты пенсий и переводе их в те страны, где они в настоящее время проживали.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Конституционный Суд признал ограничение права на получение назначенных трудовых пенсий в период постоянного проживания пенсионера за пределами Российской Федерации по такому основанию как выезд за границу до 1 июля 1993 года либо проживание пенсионера непосредственно перед выездом не на территории России, не соответствующим Конституции Российской Федерации. В решении по данному делу указывается, что право граждан на получение трудовых пенсий, в силу правовой природы и сущности этих пенсий, не может связываться с таким условием, как постоянное проживание пенсионера в Российской Федерации; государство обязано гарантировать это право независимо от того, где проживает гражданин, которому назначена пенсия - в Российской Федерации или за ее пределами. Иное означало бы отказ Российского государства от выполнения вытекающей из </w:t>
      </w:r>
      <w:r w:rsidRPr="00EF669C">
        <w:rPr>
          <w:color w:val="000000"/>
          <w:sz w:val="24"/>
          <w:szCs w:val="24"/>
        </w:rPr>
        <w:t>статьи 39 (частей 1 и 2) Конституции Российской Федерации</w:t>
      </w:r>
      <w:r>
        <w:rPr>
          <w:color w:val="000000"/>
          <w:sz w:val="24"/>
          <w:szCs w:val="24"/>
        </w:rPr>
        <w:t xml:space="preserve"> обязанности обеспечивать предоставление трудовых пенсий, установленных законом, гражданам, имеющим право на их получение. </w:t>
      </w:r>
      <w:r w:rsidRPr="00EF669C">
        <w:rPr>
          <w:color w:val="000000"/>
          <w:sz w:val="24"/>
          <w:szCs w:val="24"/>
        </w:rPr>
        <w:t>Конституция Российской Федерации (статья 2)</w:t>
      </w:r>
      <w:r>
        <w:rPr>
          <w:color w:val="000000"/>
          <w:sz w:val="24"/>
          <w:szCs w:val="24"/>
        </w:rPr>
        <w:t xml:space="preserve"> закрепляет обязанность государства признавать, соблюдать и защищать в равной мере все права и свободы человека и гражданина. Поэтому устанавливаемый законом порядок реализации гражданами права на получение трудовых пенсий не должен препятствовать им в осуществлении иных гарантированных Конституцией прав и свобод, в частности, права каждого на выбор места пребывания и жительства, права свободно выезжать за пределы Российской Федерации(статья 27, части 1 и 2), а реализация гражданином этих конституционных прав, относящихся к общепризнанным правам, не может служить основанием для ограничения его конституционного права на социальное обеспечение.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Установление различий в праве на получение трудовых пенсий между пенсионерами, обусловленных исключительно местом их постоянно жительства и датой выезда за границу, не соответствуют и </w:t>
      </w:r>
      <w:r w:rsidRPr="00EF669C">
        <w:rPr>
          <w:color w:val="000000"/>
          <w:sz w:val="24"/>
          <w:szCs w:val="24"/>
        </w:rPr>
        <w:t>статье 19 Конституции</w:t>
      </w:r>
      <w:r>
        <w:rPr>
          <w:color w:val="000000"/>
          <w:sz w:val="24"/>
          <w:szCs w:val="24"/>
        </w:rPr>
        <w:t>, гарантирующей равенство прав и свобод человека и гражданина и по своему характеру такие различия являются дискриминационными.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Важные выводы, касающиеся сущности и основного содержания социального обеспечения именно как материального обеспечения, предоставления человеку средств к существованию, а также обязанностей государства, являющегося социальным, заботиться о благополучии своих граждан, их социальной защищенности были сформулированы также в решении Суда по делу о проверке конституционности положения </w:t>
      </w:r>
      <w:r w:rsidRPr="00EF669C">
        <w:rPr>
          <w:color w:val="000000"/>
          <w:sz w:val="24"/>
          <w:szCs w:val="24"/>
        </w:rPr>
        <w:t>Закона Российской Федерации “О занятости населения в Российской Федерации”</w:t>
      </w:r>
      <w:r>
        <w:rPr>
          <w:color w:val="000000"/>
          <w:sz w:val="24"/>
          <w:szCs w:val="24"/>
        </w:rPr>
        <w:t xml:space="preserve">, регламентировавшего оплату периода временной нетрудоспособности безработным гражданам. 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Конституционный Суд поступает много обращений от граждан, которые полагают, что их конституционное право на социальное обеспечение нарушается в связи с установлением пенсионным законодательством предельных размеров пенсий, определенных правил повышения пенсий, невключением в стаж для назначения пенсий на льготных условиях некоторых периодов времени и т.п. Суд отказывает в принятии таких жалоб к рассмотрению. Конституционное право каждого на социальное обеспечение по возрасту, в случае болезни, инвалидности, потери кормильца, для воспитания детей и в иных случаях, установленных законом, не означает права гражданина на тот или иной размер пенсии, пособия. Гарантированное Конституцией право на социальное обеспечение реализуется в пенсионных правоотношениях с учетом определенных правовых оснований назначения государственных пенсий и порядка их исчисления. Закрепляя их, как того требует </w:t>
      </w:r>
      <w:r w:rsidRPr="00EF669C">
        <w:rPr>
          <w:color w:val="000000"/>
          <w:sz w:val="24"/>
          <w:szCs w:val="24"/>
        </w:rPr>
        <w:t>статья 39 (часть 2) Конституции Российской Федерации</w:t>
      </w:r>
      <w:r>
        <w:rPr>
          <w:color w:val="000000"/>
          <w:sz w:val="24"/>
          <w:szCs w:val="24"/>
        </w:rPr>
        <w:t>, в законе, федеральный законодатель в целях обеспечения конституционного права каждого на государственную пенсию вправе определять порядок исчисления трудовых пенсий исходя из имеющихся в государстве на данном этапе его развития финансовых средств. Проверка таких норм с точки зрения их соответствия Конституции фактически означала бы оценку целесообразности и экономической обоснованности решения законодателя, что не относится к компетенции Конституционного Суда. Не может Суд подменять законодателя и при решении вопроса о том, какие периоды времени и в каком размере следует учитывать при исчислении стажа, дающего права на пенсию на льготных условиях.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говорить о других трудовых и социальных правах, в целях защиты которых граждане обращались в Конституционный Суд, то мне хотелось бы рассказать о нескольких решениях Суда, принятых по жалобам граждан на нарушение их прав, гарантированных </w:t>
      </w:r>
      <w:r w:rsidRPr="00EF669C">
        <w:rPr>
          <w:color w:val="000000"/>
          <w:sz w:val="24"/>
          <w:szCs w:val="24"/>
        </w:rPr>
        <w:t>статьей 37 (частями 1 и 4) Конституции Российской Федерации</w:t>
      </w:r>
      <w:r>
        <w:rPr>
          <w:color w:val="000000"/>
          <w:sz w:val="24"/>
          <w:szCs w:val="24"/>
        </w:rPr>
        <w:t>, положениями законов, регламентирующих право на забастовку, а также вводящих возрастные ограничения для работников, в том числе, предусматривающих увольнение в связи достижением пенсионного возраста).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EF669C">
        <w:rPr>
          <w:color w:val="000000"/>
          <w:sz w:val="24"/>
          <w:szCs w:val="24"/>
        </w:rPr>
        <w:t>Рассматривая жалобу членов профсоюза летного состава гражданской авиации о нарушении их конституционного права на забастовку положениями закона, устанавливающими запрет забастовок на предприятиях и в организациях гражданской авиации, Конституционный Суд</w:t>
      </w:r>
      <w:r>
        <w:rPr>
          <w:color w:val="000000"/>
          <w:sz w:val="24"/>
          <w:szCs w:val="24"/>
        </w:rPr>
        <w:t xml:space="preserve"> отметил, что забастовка, как это следует из статьи 37 (часть 4) Конституции, устанавливающей право на индивидуальные и коллективные трудовые споры с использованием установленных федеральным законом способов их разрешения, включая и право на забастовку, по смыслу этой конституционной нормы является способом разрешения коллективного спора. Следовательно, законодатель вправе определять, когда и при каких условиях такой способ разрешения спора возможен, а когда он недопустим. При регламентации права на забастовку должно осуществляться необходимое согласование между защитой профессиональных интересов, средством которой является забастовка, и соблюдением общественных интересов, которым она способна причинить ущерб и обеспечение которых - обязанность законодателя.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ограничения права на забастовку отдельных категорий работников, в том числе занятых в гражданской авиации, с учетом характера их деятельности и возможных последствий прекращения ими работы прямо вытекает из положений </w:t>
      </w:r>
      <w:r w:rsidRPr="00EF669C">
        <w:rPr>
          <w:color w:val="000000"/>
          <w:sz w:val="24"/>
          <w:szCs w:val="24"/>
        </w:rPr>
        <w:t>статьи 17 (часть 3) Конституции Российской Федерации</w:t>
      </w:r>
      <w:r>
        <w:rPr>
          <w:color w:val="000000"/>
          <w:sz w:val="24"/>
          <w:szCs w:val="24"/>
        </w:rPr>
        <w:t xml:space="preserve">, предусматривающей, что осуществление прав и свобод человека и гражданина не должно нарушать права и свободы других лиц, а также </w:t>
      </w:r>
      <w:r w:rsidRPr="00EF669C">
        <w:rPr>
          <w:color w:val="000000"/>
          <w:sz w:val="24"/>
          <w:szCs w:val="24"/>
        </w:rPr>
        <w:t>статьи 55 (часть 3) Конституции Российской Федерации</w:t>
      </w:r>
      <w:r>
        <w:rPr>
          <w:color w:val="000000"/>
          <w:sz w:val="24"/>
          <w:szCs w:val="24"/>
        </w:rPr>
        <w:t xml:space="preserve">, устанавливающей цели и пределы ограничений прав и свобод. Ограничение права на забастовку не противоречит и общепризнанным принципам и нормам международного права и международным договорам Российской Федерации. Так, исходя из положений </w:t>
      </w:r>
      <w:r w:rsidRPr="00EF669C">
        <w:rPr>
          <w:color w:val="000000"/>
          <w:sz w:val="24"/>
          <w:szCs w:val="24"/>
        </w:rPr>
        <w:t>Международного пакта об экономических, социальных и культурных правах</w:t>
      </w:r>
      <w:r>
        <w:rPr>
          <w:color w:val="000000"/>
          <w:sz w:val="24"/>
          <w:szCs w:val="24"/>
        </w:rPr>
        <w:t>, запрет права на забастовку допустим в отношении лиц, входящих в состав вооруженных сил, полиции и администрации государства, а в отношении других лиц ограничения возможны, если они необходимы в демократическом обществе в интересах государственной безопасности или общественного порядка или для ограждения прав и свобод других (пункт"с" части первой, часть вторая статьи 8).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признал, что запрет забастовок для всех без исключения работников предприятий и организаций, относящихся к системе гражданской авиации, лишь на основании принадлежности их к этой отрасли и без учета характера их деятельности, значимости выполняемых работ не соответствует Конституции Российской Федерации и является превышением допустимых с точки зрения конституционных норм ограничений данного права.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резонанс имело </w:t>
      </w:r>
      <w:r w:rsidRPr="00EF669C">
        <w:rPr>
          <w:color w:val="000000"/>
          <w:sz w:val="24"/>
          <w:szCs w:val="24"/>
        </w:rPr>
        <w:t>решение Суда</w:t>
      </w:r>
      <w:r>
        <w:rPr>
          <w:color w:val="000000"/>
          <w:sz w:val="24"/>
          <w:szCs w:val="24"/>
        </w:rPr>
        <w:t xml:space="preserve">, вынесенное еще в 1992 году, в котором по сути давалась оценка конституционности нормы, содержащейся в статье 33 КЗоТ и, предоставляющей администрации право уволить работника в связи с достижением им пенсионного возраста при наличии у него права на полную пенсию по старости. Это было одно из первых дел, рассмотренных Судом после его учреждения. Тогда в соответствии с предоставленными ему полномочиями Суд проверял конституционность не самой нормы, а правоприменительной практики, сложившей при ее применении. Суд признал такую практику не соответствующей Конституции, а введение в качестве самостоятельного основания для увольнения по инициативе администрации такого основания как достижение пенсионного возраста - дискриминацией по возрастному критерию, нарушением права на выбор профессии, рода занятий и работы, справедливых условий найма и увольнения. Во исполнение </w:t>
      </w:r>
      <w:r w:rsidRPr="00EF669C">
        <w:rPr>
          <w:color w:val="000000"/>
          <w:sz w:val="24"/>
          <w:szCs w:val="24"/>
        </w:rPr>
        <w:t>данного решения</w:t>
      </w:r>
      <w:r>
        <w:rPr>
          <w:color w:val="000000"/>
          <w:sz w:val="24"/>
          <w:szCs w:val="24"/>
        </w:rPr>
        <w:t xml:space="preserve"> законодатель исключил из статьи 33 КЗоТ это положение.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годы Конституционному Суду вновь пришлось оценивать нормы, устанавливающие возрастные ограничения при занятии определенных должностей, и в частности, в связи с обращениями о проверке конституционности положений Федерального закона "Об основах государственной службы Российской Федерации", устанавливающих предельный возраст для лиц, занимающих государственные должности государственной службы, и решать вопрос о том, имеет ли место в данном случае дискриминация по возрасту, нарушение свободы труда, права свободно выбирать род деятельности и профессию.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Конституционный Суд пришел к выводу о том, что возрастные ограничения для государственных служащих не нарушают конституционных норм и принципов. Принимая такое решение, Суд исходил из того, что из статьи 37 (часть 1) Конституции Российской Федерации, гарантирующей свободу труда, право каждого свободно распоряжаться своими способностями к труду, выбирать род деятельности и профессию, не вытекает право гражданина занимать определенную должность, выполнять конкретную работу в соответствии с избранным им родом деятельности и профессией и обязанность кого бы то ни было такую работу или должность ему предоставить. В сфере трудовых отношений свобода труда проявляется прежде всего в договорном характере труда. Именно в рамках трудового договора на основе соглашения гражданина и работодателя решается вопрос о работе по определенной профессии, специальности, квалификации или должности.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равенства перед законом и судом, а также равенства прав и свобод человека и гражданина , закрепленный в </w:t>
      </w:r>
      <w:r w:rsidRPr="00EF669C">
        <w:rPr>
          <w:color w:val="000000"/>
          <w:sz w:val="24"/>
          <w:szCs w:val="24"/>
        </w:rPr>
        <w:t>статье 19 Конституции Российской Федерации</w:t>
      </w:r>
      <w:r>
        <w:rPr>
          <w:color w:val="000000"/>
          <w:sz w:val="24"/>
          <w:szCs w:val="24"/>
        </w:rPr>
        <w:t xml:space="preserve">, не препятствует законодателю при осуществлении правового регулирования трудовых отношений устанавливать различия в правовом статусе лиц, принадлежащих к разным по условиям и роду деятельности категориям, в том числе вводить особые правила, касающиеся условий замещения отдельных должностей и оснований освобождения от должности, если эти различия являются объективно оправданными, обоснованными и соответствуют конституционно значимым целям и требованиям. Различия, исключения или предпочтения в области труда и занятий, основанные на специфических требованиях определенной работы, в соответствии с пунктом 2 статьи 1 Конвенции МОТ № 111 1958 года о дискриминации в области труда и занятий, ратифицированной Союзом ССР в 1961 году и в силу требований </w:t>
      </w:r>
      <w:r w:rsidRPr="00EF669C">
        <w:rPr>
          <w:color w:val="000000"/>
          <w:sz w:val="24"/>
          <w:szCs w:val="24"/>
        </w:rPr>
        <w:t>статьи 15(часть 4) Конституции Российской Федерации</w:t>
      </w:r>
      <w:r>
        <w:rPr>
          <w:color w:val="000000"/>
          <w:sz w:val="24"/>
          <w:szCs w:val="24"/>
        </w:rPr>
        <w:t xml:space="preserve"> являющейся составной частью правовой системы Российской Федерации, не считаются дискриминацией. Следовательно, установление предельного возраста при замещении определенных должностей допустимо, если это ограничение обусловлено спецификой и особенностями выполняемой работы и при этом исключается необоснованное предъявление разных требований к лицам, выполняющим одинаковые по своему содержанию функции.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государственной службы Российской Федерации как профессиональной деятельности по обеспечению исполнения полномочий государственных органов предопределяет особый правовой статус государственных служащих в трудовых отношениях. Регламентируя правовое положение государственных служащих, порядок поступления на государственную службу и ее прохождения, государство может устанавливать в этой сфере и особые правила, в том числе, требование о соблюдении возрастных критериев при приеме на государственную службу и увольнении по достижении предельного возраста для нахождения на государственной службе. Соответственно установление таких правил, обусловленных задачами, принципами организации и функционирования государственной службы, целью поддержания ее высокого уровня (в том числе за счет обновления и сменяемости управленческого персонала), специфическим характером деятельности лиц, исполняющих обязанности по государственной должности государственной службы не может рассматриваться как нарушение Конституции Российской Федерации.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Примеры из практики Конституционного Суда можно было бы продолжить, но я надеюсь, что и вышесказанное уже дает вам представление о конституционных основах защиты трудовых и социальных прав, о возможностях осуществления ее посредством конституционного судопроизводства, Конституционным Судом, который в своей деятельности занимает твердую позицию защиты таких прав от произвола со стороны любых государственных органов и должностных лиц.</w:t>
      </w:r>
    </w:p>
    <w:p w:rsidR="009F5CBA" w:rsidRDefault="009F5C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Хохрякова Ольга Сергеевна. </w:t>
      </w:r>
      <w:r>
        <w:rPr>
          <w:rStyle w:val="a4"/>
          <w:b w:val="0"/>
          <w:bCs w:val="0"/>
          <w:color w:val="000000"/>
          <w:sz w:val="24"/>
          <w:szCs w:val="24"/>
        </w:rPr>
        <w:t>Конституционные основы защиты трудовых и социальных прав.</w:t>
      </w:r>
    </w:p>
    <w:p w:rsidR="009F5CBA" w:rsidRDefault="009F5C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5C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69C"/>
    <w:rsid w:val="00421418"/>
    <w:rsid w:val="009F5CBA"/>
    <w:rsid w:val="00EF669C"/>
    <w:rsid w:val="00F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81C72A-E56A-42AE-898A-2AB27A63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19215</Words>
  <Characters>10954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Конституционные основы защиты трудовых и социальных прав</vt:lpstr>
    </vt:vector>
  </TitlesOfParts>
  <Company>PERSONAL COMPUTERS</Company>
  <LinksUpToDate>false</LinksUpToDate>
  <CharactersWithSpaces>30109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Конституционные основы защиты трудовых и социальных прав</dc:title>
  <dc:subject/>
  <dc:creator>USER</dc:creator>
  <cp:keywords/>
  <dc:description/>
  <cp:lastModifiedBy>admin</cp:lastModifiedBy>
  <cp:revision>2</cp:revision>
  <dcterms:created xsi:type="dcterms:W3CDTF">2014-01-27T02:44:00Z</dcterms:created>
  <dcterms:modified xsi:type="dcterms:W3CDTF">2014-01-27T02:44:00Z</dcterms:modified>
</cp:coreProperties>
</file>