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345" w:rsidRDefault="00B051C0">
      <w:pPr>
        <w:pStyle w:val="1"/>
      </w:pPr>
      <w:r>
        <w:rPr>
          <w:noProof/>
        </w:rPr>
        <w:pict>
          <v:rect id="_x0000_s1026" style="position:absolute;left:0;text-align:left;margin-left:-54pt;margin-top:-43.2pt;width:525.6pt;height:784.8pt;z-index:-251658752" o:allowincell="f" strokeweight="2.25pt">
            <v:imagedata embosscolor="shadow add(51)"/>
            <v:shadow offset="6pt,-6pt"/>
          </v:rect>
        </w:pict>
      </w:r>
      <w:r w:rsidR="00872345">
        <w:t>Министерство общего и профессионального образования</w:t>
      </w:r>
    </w:p>
    <w:p w:rsidR="00872345" w:rsidRDefault="00872345">
      <w:pPr>
        <w:pStyle w:val="2"/>
      </w:pPr>
      <w:r>
        <w:t>Российской Федерации</w:t>
      </w:r>
    </w:p>
    <w:p w:rsidR="00872345" w:rsidRDefault="00872345">
      <w:pPr>
        <w:ind w:left="-794" w:right="-1049"/>
        <w:rPr>
          <w:sz w:val="40"/>
        </w:rPr>
      </w:pPr>
    </w:p>
    <w:p w:rsidR="00872345" w:rsidRDefault="00872345">
      <w:pPr>
        <w:pStyle w:val="3"/>
      </w:pPr>
      <w:r>
        <w:t>Томский Государственный Университет Систем</w:t>
      </w:r>
    </w:p>
    <w:p w:rsidR="00872345" w:rsidRDefault="00872345">
      <w:pPr>
        <w:ind w:left="284" w:right="-1049"/>
        <w:rPr>
          <w:sz w:val="44"/>
        </w:rPr>
      </w:pPr>
      <w:r>
        <w:rPr>
          <w:sz w:val="44"/>
        </w:rPr>
        <w:t>Управления и Радиоэлектроники (ТУСУР)</w:t>
      </w:r>
    </w:p>
    <w:p w:rsidR="00872345" w:rsidRDefault="00872345">
      <w:pPr>
        <w:ind w:left="-142" w:right="-1049"/>
        <w:rPr>
          <w:sz w:val="44"/>
          <w:lang w:val="en-US"/>
        </w:rPr>
      </w:pPr>
    </w:p>
    <w:p w:rsidR="00872345" w:rsidRDefault="00872345">
      <w:pPr>
        <w:ind w:left="57" w:right="851"/>
        <w:jc w:val="right"/>
        <w:rPr>
          <w:sz w:val="44"/>
        </w:rPr>
      </w:pPr>
    </w:p>
    <w:p w:rsidR="00872345" w:rsidRDefault="00872345">
      <w:pPr>
        <w:ind w:left="57" w:right="851"/>
        <w:jc w:val="right"/>
        <w:rPr>
          <w:sz w:val="44"/>
        </w:rPr>
      </w:pPr>
    </w:p>
    <w:p w:rsidR="00872345" w:rsidRDefault="00872345">
      <w:pPr>
        <w:ind w:left="57" w:right="851"/>
        <w:jc w:val="right"/>
        <w:rPr>
          <w:sz w:val="44"/>
        </w:rPr>
      </w:pPr>
    </w:p>
    <w:p w:rsidR="00872345" w:rsidRDefault="00872345">
      <w:pPr>
        <w:pStyle w:val="4"/>
        <w:ind w:left="567"/>
      </w:pPr>
      <w:r>
        <w:t>Реферат</w:t>
      </w:r>
    </w:p>
    <w:p w:rsidR="00872345" w:rsidRDefault="00872345">
      <w:pPr>
        <w:jc w:val="center"/>
        <w:rPr>
          <w:b/>
          <w:sz w:val="44"/>
        </w:rPr>
      </w:pPr>
      <w:r>
        <w:rPr>
          <w:b/>
          <w:sz w:val="44"/>
        </w:rPr>
        <w:t>по дисциплине История России на тему</w:t>
      </w:r>
    </w:p>
    <w:p w:rsidR="00872345" w:rsidRDefault="00872345">
      <w:pPr>
        <w:jc w:val="center"/>
        <w:rPr>
          <w:b/>
          <w:sz w:val="44"/>
        </w:rPr>
      </w:pPr>
      <w:r>
        <w:rPr>
          <w:b/>
          <w:sz w:val="44"/>
        </w:rPr>
        <w:t>«Крестьянская реформа 1861г. Ее предыстория. »</w:t>
      </w:r>
    </w:p>
    <w:p w:rsidR="00872345" w:rsidRDefault="00872345">
      <w:pPr>
        <w:jc w:val="center"/>
        <w:rPr>
          <w:sz w:val="44"/>
        </w:rPr>
      </w:pPr>
    </w:p>
    <w:p w:rsidR="00872345" w:rsidRDefault="00872345">
      <w:pPr>
        <w:jc w:val="center"/>
        <w:rPr>
          <w:sz w:val="44"/>
        </w:rPr>
      </w:pPr>
    </w:p>
    <w:p w:rsidR="00872345" w:rsidRDefault="00872345">
      <w:pPr>
        <w:pStyle w:val="5"/>
        <w:ind w:right="454"/>
        <w:rPr>
          <w:b/>
          <w:sz w:val="36"/>
        </w:rPr>
      </w:pPr>
      <w:r>
        <w:rPr>
          <w:b/>
          <w:sz w:val="36"/>
        </w:rPr>
        <w:t xml:space="preserve">Выполнил студент: </w:t>
      </w:r>
    </w:p>
    <w:p w:rsidR="00872345" w:rsidRDefault="00872345">
      <w:pPr>
        <w:pStyle w:val="5"/>
        <w:rPr>
          <w:sz w:val="52"/>
        </w:rPr>
      </w:pPr>
      <w:r>
        <w:rPr>
          <w:b/>
          <w:sz w:val="36"/>
        </w:rPr>
        <w:t>Филатов Артемий Константинович</w:t>
      </w:r>
    </w:p>
    <w:p w:rsidR="00872345" w:rsidRDefault="00872345">
      <w:pPr>
        <w:pStyle w:val="5"/>
        <w:rPr>
          <w:b/>
          <w:sz w:val="36"/>
        </w:rPr>
      </w:pPr>
      <w:r>
        <w:rPr>
          <w:b/>
          <w:sz w:val="36"/>
        </w:rPr>
        <w:t>Код доступа:</w:t>
      </w:r>
      <w:r>
        <w:rPr>
          <w:b/>
          <w:sz w:val="36"/>
          <w:lang w:val="en-US"/>
        </w:rPr>
        <w:t>te</w:t>
      </w:r>
      <w:r>
        <w:rPr>
          <w:b/>
          <w:sz w:val="36"/>
        </w:rPr>
        <w:t>991</w:t>
      </w:r>
      <w:r>
        <w:rPr>
          <w:b/>
          <w:sz w:val="36"/>
          <w:lang w:val="en-US"/>
        </w:rPr>
        <w:t>FAK</w:t>
      </w:r>
    </w:p>
    <w:p w:rsidR="00872345" w:rsidRDefault="00872345">
      <w:pPr>
        <w:pStyle w:val="5"/>
        <w:ind w:right="851"/>
        <w:rPr>
          <w:b/>
          <w:sz w:val="36"/>
        </w:rPr>
      </w:pPr>
      <w:r>
        <w:rPr>
          <w:b/>
          <w:sz w:val="36"/>
        </w:rPr>
        <w:t>Пароль:34715814</w:t>
      </w:r>
    </w:p>
    <w:p w:rsidR="00872345" w:rsidRDefault="00872345">
      <w:pPr>
        <w:pStyle w:val="5"/>
        <w:ind w:left="113" w:right="2211"/>
        <w:rPr>
          <w:b/>
          <w:sz w:val="36"/>
        </w:rPr>
      </w:pPr>
      <w:r>
        <w:rPr>
          <w:b/>
          <w:sz w:val="36"/>
        </w:rPr>
        <w:t>Принял:</w:t>
      </w:r>
    </w:p>
    <w:p w:rsidR="00872345" w:rsidRDefault="00872345">
      <w:pPr>
        <w:jc w:val="right"/>
        <w:rPr>
          <w:sz w:val="36"/>
        </w:rPr>
      </w:pPr>
    </w:p>
    <w:p w:rsidR="00872345" w:rsidRDefault="00872345">
      <w:pPr>
        <w:ind w:right="2665"/>
        <w:jc w:val="right"/>
        <w:rPr>
          <w:b/>
          <w:sz w:val="36"/>
        </w:rPr>
      </w:pPr>
      <w:r>
        <w:rPr>
          <w:b/>
          <w:sz w:val="36"/>
        </w:rPr>
        <w:t>Дата:</w:t>
      </w:r>
    </w:p>
    <w:p w:rsidR="00872345" w:rsidRDefault="00872345"/>
    <w:p w:rsidR="00872345" w:rsidRDefault="00872345">
      <w:pPr>
        <w:pStyle w:val="5"/>
        <w:ind w:left="113" w:right="1134"/>
        <w:rPr>
          <w:sz w:val="20"/>
        </w:rPr>
      </w:pPr>
    </w:p>
    <w:p w:rsidR="00872345" w:rsidRDefault="00872345">
      <w:pPr>
        <w:pStyle w:val="5"/>
        <w:ind w:left="113" w:right="1134"/>
        <w:rPr>
          <w:sz w:val="20"/>
        </w:rPr>
      </w:pPr>
    </w:p>
    <w:p w:rsidR="00872345" w:rsidRDefault="00872345">
      <w:pPr>
        <w:pStyle w:val="5"/>
        <w:ind w:left="113" w:right="1134"/>
        <w:jc w:val="center"/>
      </w:pPr>
    </w:p>
    <w:p w:rsidR="00872345" w:rsidRDefault="00872345">
      <w:pPr>
        <w:pStyle w:val="5"/>
        <w:ind w:left="113" w:right="1134"/>
        <w:jc w:val="center"/>
      </w:pPr>
    </w:p>
    <w:p w:rsidR="00872345" w:rsidRDefault="00872345">
      <w:pPr>
        <w:pStyle w:val="5"/>
        <w:ind w:left="113" w:right="1134"/>
        <w:jc w:val="center"/>
        <w:rPr>
          <w:b/>
        </w:rPr>
      </w:pPr>
      <w:r>
        <w:t xml:space="preserve">         </w:t>
      </w:r>
      <w:r>
        <w:rPr>
          <w:b/>
        </w:rPr>
        <w:t>Томск-2000.</w:t>
      </w:r>
    </w:p>
    <w:p w:rsidR="00872345" w:rsidRDefault="00872345"/>
    <w:p w:rsidR="00872345" w:rsidRDefault="00872345">
      <w:pPr>
        <w:ind w:left="589" w:right="-716"/>
        <w:rPr>
          <w:b/>
          <w:snapToGrid w:val="0"/>
          <w:sz w:val="36"/>
          <w:u w:val="single"/>
          <w:lang w:val="en-US"/>
        </w:rPr>
      </w:pPr>
      <w:r>
        <w:rPr>
          <w:b/>
          <w:snapToGrid w:val="0"/>
          <w:sz w:val="36"/>
          <w:u w:val="single"/>
          <w:lang w:val="en-US"/>
        </w:rPr>
        <w:t>I.</w:t>
      </w:r>
      <w:r>
        <w:rPr>
          <w:b/>
          <w:snapToGrid w:val="0"/>
          <w:sz w:val="36"/>
          <w:u w:val="single"/>
        </w:rPr>
        <w:t xml:space="preserve">Личность и воспитание императора Александра </w:t>
      </w:r>
      <w:r>
        <w:rPr>
          <w:b/>
          <w:snapToGrid w:val="0"/>
          <w:sz w:val="36"/>
          <w:u w:val="single"/>
          <w:lang w:val="en-US"/>
        </w:rPr>
        <w:t>II.</w:t>
      </w:r>
    </w:p>
    <w:p w:rsidR="00872345" w:rsidRDefault="00872345">
      <w:pPr>
        <w:ind w:left="589" w:right="-716"/>
        <w:rPr>
          <w:b/>
          <w:snapToGrid w:val="0"/>
          <w:sz w:val="36"/>
          <w:u w:val="single"/>
          <w:lang w:val="en-US"/>
        </w:rPr>
      </w:pPr>
    </w:p>
    <w:p w:rsidR="00872345" w:rsidRDefault="00872345">
      <w:pPr>
        <w:ind w:left="-851" w:right="-716"/>
        <w:rPr>
          <w:b/>
          <w:snapToGrid w:val="0"/>
          <w:sz w:val="28"/>
        </w:rPr>
      </w:pPr>
      <w:r>
        <w:rPr>
          <w:b/>
          <w:snapToGrid w:val="0"/>
          <w:sz w:val="28"/>
        </w:rPr>
        <w:t xml:space="preserve">Неожиданная кончина императора Николая Павловича, умершего от случайной простуды, послужила началом важных перемен в жизни Русского государства. С императором Николаем отошла в вечность его правительственная система. Приемник его был совсем иной человек. Император Александр </w:t>
      </w:r>
      <w:r>
        <w:rPr>
          <w:b/>
          <w:snapToGrid w:val="0"/>
          <w:sz w:val="28"/>
          <w:lang w:val="en-US"/>
        </w:rPr>
        <w:t xml:space="preserve">II </w:t>
      </w:r>
      <w:r>
        <w:rPr>
          <w:b/>
          <w:snapToGrid w:val="0"/>
          <w:sz w:val="28"/>
        </w:rPr>
        <w:t>во многом составлял противоположность своему отцу. Отец отличался суровым и непреклонным характером; сын был мягок и доступен влиянием. Отец не получил в своё время хорошего образования, сын же был тщательно воспитан и подготовлен к предстоящему важному делу правления государством. Александр вступал на престол тридцати шести лет от роду (родился в 1818г.), зрелым человеком, достаточно опытных в делах. Русские люди ждали от него много доброго – и не ошиблись.</w:t>
      </w:r>
    </w:p>
    <w:p w:rsidR="00872345" w:rsidRDefault="00872345">
      <w:pPr>
        <w:ind w:left="-851" w:right="-716"/>
        <w:rPr>
          <w:b/>
          <w:snapToGrid w:val="0"/>
          <w:sz w:val="28"/>
        </w:rPr>
      </w:pPr>
      <w:r>
        <w:rPr>
          <w:b/>
          <w:snapToGrid w:val="0"/>
          <w:sz w:val="28"/>
        </w:rPr>
        <w:t xml:space="preserve">  Воспитание императора Александра </w:t>
      </w:r>
      <w:r>
        <w:rPr>
          <w:b/>
          <w:snapToGrid w:val="0"/>
          <w:sz w:val="28"/>
          <w:lang w:val="en-US"/>
        </w:rPr>
        <w:t xml:space="preserve">II </w:t>
      </w:r>
      <w:r>
        <w:rPr>
          <w:b/>
          <w:snapToGrid w:val="0"/>
          <w:sz w:val="28"/>
        </w:rPr>
        <w:t>было поставлено прекрасно. С малых лет воспитателем его был гуманный и умный человек капитан Мердер. Лет девяти Александр начал учиться под главным руководством своего «наставника» – известного поэта В.А.Жуковского. Жуковский предварительно составил глубоко обдуманный «план учения» цесаревича, утверждённый императором Николаем. По этому плану целью всего учения было сделать будущего государя человеком просвещённым и всесторонне образованным, сохранив его от преждевременных увлечений мелочами военного дела. Жуковскому удалось осуществить свой план. Цесаревич много учился и имел хороших учителей; между прочим, знаменитый Сперанский вёл с ним «беседы о законах». Домашние занятия добавлялись образовательными поездками. Из них особенно памятно было большое путешествие по России и Западной Сибири (в 1837г.). Двадцати трёх лет цесаревич вступил в брак с Марией Александровною, принцессою Гессен – Дармштадской, с которою он познакомился во время большого заграничного путешествия.</w:t>
      </w:r>
    </w:p>
    <w:p w:rsidR="00872345" w:rsidRDefault="00872345">
      <w:pPr>
        <w:ind w:left="-851" w:right="-716"/>
        <w:rPr>
          <w:b/>
          <w:snapToGrid w:val="0"/>
          <w:sz w:val="28"/>
        </w:rPr>
      </w:pPr>
      <w:r>
        <w:rPr>
          <w:b/>
          <w:snapToGrid w:val="0"/>
          <w:sz w:val="28"/>
        </w:rPr>
        <w:t xml:space="preserve">  С этого времени началось служебная деятельность Александра Николаевича. Император Николай систематически знакомил сына с разными отраслями государственного управления и даже поручал ему общее руководство делами на время своих отъездов из столицы. В течение десяти лет наследник престола был ближайшим помощником своего отца и свидетелем всей его правительственной работы. Император Николай нежно относился к сыну; он говорил ему перед самой своей кончиною: «Мне хотелось, приняв на себя всё трудное, всё тяжкое, оставить тебе царство мирное, устроенное и счастливое… Провидение судило иначе.»</w:t>
      </w:r>
    </w:p>
    <w:p w:rsidR="00872345" w:rsidRDefault="00872345">
      <w:pPr>
        <w:ind w:left="-851" w:right="-716"/>
        <w:rPr>
          <w:b/>
          <w:snapToGrid w:val="0"/>
          <w:sz w:val="28"/>
        </w:rPr>
      </w:pPr>
      <w:r>
        <w:rPr>
          <w:b/>
          <w:snapToGrid w:val="0"/>
          <w:sz w:val="28"/>
        </w:rPr>
        <w:t xml:space="preserve">  Провидение судило иначе. Император Александр </w:t>
      </w:r>
      <w:r>
        <w:rPr>
          <w:b/>
          <w:snapToGrid w:val="0"/>
          <w:sz w:val="28"/>
          <w:lang w:val="en-US"/>
        </w:rPr>
        <w:t>II</w:t>
      </w:r>
      <w:r>
        <w:rPr>
          <w:b/>
          <w:snapToGrid w:val="0"/>
          <w:sz w:val="28"/>
        </w:rPr>
        <w:t xml:space="preserve"> вступал во власть в очень тяжкое время. Трудная и неудачная война потрясла государство и требовала больших усилий и большого искусства для того, чтобы сохранить честь империи и привести дело к хорошему миру. Всё внимание нового государя было устремлено в эту сторону.</w:t>
      </w:r>
    </w:p>
    <w:p w:rsidR="00872345" w:rsidRDefault="00872345">
      <w:pPr>
        <w:ind w:left="-851" w:right="-716"/>
        <w:rPr>
          <w:b/>
          <w:snapToGrid w:val="0"/>
          <w:sz w:val="28"/>
        </w:rPr>
      </w:pPr>
    </w:p>
    <w:p w:rsidR="00872345" w:rsidRDefault="00872345">
      <w:pPr>
        <w:ind w:left="-851" w:right="-716"/>
        <w:jc w:val="center"/>
        <w:rPr>
          <w:b/>
          <w:snapToGrid w:val="0"/>
          <w:sz w:val="36"/>
          <w:u w:val="single"/>
        </w:rPr>
      </w:pPr>
      <w:r>
        <w:rPr>
          <w:b/>
          <w:snapToGrid w:val="0"/>
          <w:sz w:val="36"/>
          <w:u w:val="single"/>
          <w:lang w:val="en-US"/>
        </w:rPr>
        <w:t>II.</w:t>
      </w:r>
      <w:r>
        <w:rPr>
          <w:b/>
          <w:snapToGrid w:val="0"/>
          <w:sz w:val="36"/>
          <w:u w:val="single"/>
        </w:rPr>
        <w:t>Окончание Восточной войны.</w:t>
      </w:r>
    </w:p>
    <w:p w:rsidR="00872345" w:rsidRDefault="00872345">
      <w:pPr>
        <w:ind w:left="-851" w:right="-716"/>
        <w:jc w:val="center"/>
        <w:rPr>
          <w:b/>
          <w:snapToGrid w:val="0"/>
          <w:sz w:val="36"/>
          <w:u w:val="single"/>
        </w:rPr>
      </w:pPr>
    </w:p>
    <w:p w:rsidR="00872345" w:rsidRDefault="00872345">
      <w:pPr>
        <w:ind w:left="-851" w:right="-716"/>
        <w:rPr>
          <w:b/>
          <w:snapToGrid w:val="0"/>
          <w:sz w:val="28"/>
        </w:rPr>
      </w:pPr>
      <w:r>
        <w:rPr>
          <w:b/>
          <w:snapToGrid w:val="0"/>
          <w:sz w:val="28"/>
        </w:rPr>
        <w:t>После падения Севастополя осенью 1855 года русским войскам удалось достигнуть блестящего успеха на Азиатском театре войны. Генералом И. Н. Муравьёвым была взята турецкая крепость Карс. Во всех остальных местах военные действия шли вяло, и к зиме везде настало полное затишье. Государь осенью посетил Крым и лично благодарил многострадальную Севастопольскую армию за её подвиги и труды. Личное знакомство с положением дел на юге убедило императора Александра в том, что продолжать войну очень трудно; а победа под Карсом давала ему возможность начать переговоры о мире для чести его государства. Со своей стороны император Наполеон желал мира, и даже сам искал случая начать переговоры. В начале 1856 года (при посредстве Австрии и Пруссии) удалось собрать в Париже конгресс европейских дипломатов для заключения мира. Мирный трактат был подписан в марте 1856 года на условиях, довольно тяжких для России.</w:t>
      </w:r>
    </w:p>
    <w:p w:rsidR="00872345" w:rsidRDefault="00872345">
      <w:pPr>
        <w:ind w:left="-851" w:right="-716"/>
        <w:rPr>
          <w:b/>
          <w:snapToGrid w:val="0"/>
          <w:sz w:val="28"/>
        </w:rPr>
      </w:pPr>
      <w:r>
        <w:rPr>
          <w:b/>
          <w:snapToGrid w:val="0"/>
          <w:sz w:val="28"/>
        </w:rPr>
        <w:t xml:space="preserve">  По Парижскому трактату Россия получила обратно потерянный ею Севастополь в обмен на Карс, возвращаемый Турции. В пользу Молдавии Россия отказалась от своих владений в устье Дуная (и, таким образом, перестала быть в непосредственном соседстве с Турцией). Россия потеряла  право иметь военный флот на Чёрном море (это ограничение в 1871 году было снято с себя Россией во время Франко – прусской войны); Чёрное море было объявлено нейтральным и пролив Босфор и Дарданеллы были закрыты для военных судов всех стран. Наконец, Россия теряла право покровительства над христианскими подданными Турции, которые были теперь поставлены под протекторат всех великих держав.</w:t>
      </w:r>
    </w:p>
    <w:p w:rsidR="00872345" w:rsidRDefault="00872345">
      <w:pPr>
        <w:ind w:left="-851" w:right="-716"/>
        <w:rPr>
          <w:b/>
          <w:snapToGrid w:val="0"/>
          <w:sz w:val="28"/>
        </w:rPr>
      </w:pPr>
      <w:r>
        <w:rPr>
          <w:b/>
          <w:snapToGrid w:val="0"/>
          <w:sz w:val="28"/>
        </w:rPr>
        <w:t xml:space="preserve">  Объявляя особым манифестом о заключении мира, император Александр</w:t>
      </w:r>
      <w:r>
        <w:rPr>
          <w:b/>
          <w:snapToGrid w:val="0"/>
          <w:sz w:val="28"/>
          <w:lang w:val="en-US"/>
        </w:rPr>
        <w:t xml:space="preserve"> II</w:t>
      </w:r>
      <w:r>
        <w:rPr>
          <w:b/>
          <w:snapToGrid w:val="0"/>
          <w:sz w:val="28"/>
        </w:rPr>
        <w:t xml:space="preserve"> заканчивал этот манифест определённым пожеланием внутреннего обновления России: «Да утверждается и совершенствуется её внутреннее благоустройство; правда и милость да царствуют в судах её; да развивается повсюду и с новой силой стремление к просвещению и всякой полезной деятельности…» В этих словах заключалось как бы обещание внутренних реформ, необходимость которых чувствовалось одинаково как правительством, так и обществом.</w:t>
      </w:r>
    </w:p>
    <w:p w:rsidR="00872345" w:rsidRDefault="00872345">
      <w:pPr>
        <w:ind w:left="-851" w:right="-716"/>
        <w:rPr>
          <w:b/>
          <w:snapToGrid w:val="0"/>
          <w:sz w:val="28"/>
        </w:rPr>
      </w:pPr>
      <w:r>
        <w:rPr>
          <w:b/>
          <w:snapToGrid w:val="0"/>
          <w:sz w:val="28"/>
        </w:rPr>
        <w:t xml:space="preserve">  Действительно, вскоре же наступила «эпоха великих реформ» императора Александра </w:t>
      </w:r>
      <w:r>
        <w:rPr>
          <w:b/>
          <w:snapToGrid w:val="0"/>
          <w:sz w:val="28"/>
          <w:lang w:val="en-US"/>
        </w:rPr>
        <w:t xml:space="preserve">II. </w:t>
      </w:r>
      <w:r>
        <w:rPr>
          <w:b/>
          <w:snapToGrid w:val="0"/>
          <w:sz w:val="28"/>
        </w:rPr>
        <w:t>Прежде всего, было упразднено крепостное право на крестьян (1861). Затем последовали реформы земская и реформа судебная (1864). Было дано новое городовое положение (1870). Была введена всеобщая воинская повинность (1874). Кроме того, последовал ряд мер по народному образованию, по цензуре, по финансам. Словом, все стороны государственной и общественной жизни подверглись изменениям: эпоха реформ охватила все слои русского общества.</w:t>
      </w:r>
    </w:p>
    <w:p w:rsidR="00872345" w:rsidRDefault="00872345">
      <w:pPr>
        <w:ind w:left="-851" w:right="-716"/>
        <w:rPr>
          <w:b/>
          <w:snapToGrid w:val="0"/>
          <w:sz w:val="28"/>
        </w:rPr>
      </w:pPr>
    </w:p>
    <w:p w:rsidR="00872345" w:rsidRDefault="00872345">
      <w:pPr>
        <w:ind w:left="-851" w:right="-716"/>
        <w:jc w:val="center"/>
        <w:rPr>
          <w:b/>
          <w:snapToGrid w:val="0"/>
          <w:sz w:val="36"/>
          <w:u w:val="single"/>
        </w:rPr>
      </w:pPr>
      <w:r>
        <w:rPr>
          <w:b/>
          <w:snapToGrid w:val="0"/>
          <w:sz w:val="36"/>
          <w:u w:val="single"/>
          <w:lang w:val="en-US"/>
        </w:rPr>
        <w:t>III.</w:t>
      </w:r>
      <w:r>
        <w:rPr>
          <w:b/>
          <w:snapToGrid w:val="0"/>
          <w:sz w:val="36"/>
          <w:u w:val="single"/>
        </w:rPr>
        <w:t>Экономические предпосылки падения крепостного права.</w:t>
      </w:r>
    </w:p>
    <w:p w:rsidR="00872345" w:rsidRDefault="00872345">
      <w:pPr>
        <w:ind w:left="-851" w:right="-716"/>
        <w:jc w:val="center"/>
        <w:rPr>
          <w:b/>
          <w:snapToGrid w:val="0"/>
          <w:sz w:val="36"/>
          <w:u w:val="single"/>
        </w:rPr>
      </w:pPr>
    </w:p>
    <w:p w:rsidR="00872345" w:rsidRDefault="00872345">
      <w:pPr>
        <w:ind w:left="-851" w:right="-716"/>
        <w:rPr>
          <w:b/>
          <w:snapToGrid w:val="0"/>
          <w:sz w:val="28"/>
        </w:rPr>
      </w:pPr>
      <w:r>
        <w:rPr>
          <w:b/>
          <w:snapToGrid w:val="0"/>
          <w:sz w:val="28"/>
        </w:rPr>
        <w:t xml:space="preserve">К середине </w:t>
      </w:r>
      <w:r>
        <w:rPr>
          <w:b/>
          <w:snapToGrid w:val="0"/>
          <w:sz w:val="28"/>
          <w:lang w:val="en-US"/>
        </w:rPr>
        <w:t>XIX</w:t>
      </w:r>
      <w:r>
        <w:rPr>
          <w:b/>
          <w:snapToGrid w:val="0"/>
          <w:sz w:val="28"/>
        </w:rPr>
        <w:t xml:space="preserve"> века старые производственные отношения в России пришли в явное несоответствие с развитием экономики, как в сельском хозяйстве, так и в промышленности. Это несоответствие стало проявляться давно, и оно могло бы тянуться ещё очень долго, если бы в недрах феодальной формации не развивались ростки, а затем и сильные элементы новых капиталистических отношений, которые подрывали устои крепостничества. Происходили одновременно два процесса: кризис феодализма и рост капитализма. Развитие этих процессов в течение первой половины </w:t>
      </w:r>
      <w:r>
        <w:rPr>
          <w:b/>
          <w:snapToGrid w:val="0"/>
          <w:sz w:val="28"/>
          <w:lang w:val="en-US"/>
        </w:rPr>
        <w:t xml:space="preserve">XIX </w:t>
      </w:r>
      <w:r>
        <w:rPr>
          <w:b/>
          <w:snapToGrid w:val="0"/>
          <w:sz w:val="28"/>
        </w:rPr>
        <w:t>века вызвало непримиримый конфликт между ними и в области базиса – производственных отношений, и в области политической надстройки.</w:t>
      </w:r>
    </w:p>
    <w:p w:rsidR="00872345" w:rsidRDefault="00872345">
      <w:pPr>
        <w:ind w:left="-851" w:right="-716"/>
        <w:rPr>
          <w:b/>
          <w:snapToGrid w:val="0"/>
          <w:sz w:val="28"/>
        </w:rPr>
      </w:pPr>
      <w:r>
        <w:rPr>
          <w:b/>
          <w:snapToGrid w:val="0"/>
          <w:sz w:val="28"/>
        </w:rPr>
        <w:t xml:space="preserve">  Необходимо рассмотреть главные причины по степени их значимости: Экономические, социальные, политические, хотя в жизни они были тесно связаны и взаимосвязаны.</w:t>
      </w:r>
    </w:p>
    <w:p w:rsidR="00872345" w:rsidRDefault="00872345">
      <w:pPr>
        <w:ind w:left="-851" w:right="-716"/>
        <w:rPr>
          <w:b/>
          <w:snapToGrid w:val="0"/>
          <w:sz w:val="28"/>
        </w:rPr>
      </w:pPr>
      <w:r>
        <w:rPr>
          <w:b/>
          <w:snapToGrid w:val="0"/>
          <w:sz w:val="28"/>
        </w:rPr>
        <w:t xml:space="preserve">  </w:t>
      </w:r>
      <w:r>
        <w:rPr>
          <w:b/>
          <w:i/>
          <w:snapToGrid w:val="0"/>
          <w:sz w:val="28"/>
        </w:rPr>
        <w:t xml:space="preserve">Экономические противоречия </w:t>
      </w:r>
      <w:r>
        <w:rPr>
          <w:b/>
          <w:snapToGrid w:val="0"/>
          <w:sz w:val="28"/>
        </w:rPr>
        <w:t>были обусловлены ростом товарных отношений и тормозящим влиянием крепостничества. И помещичье, и крестьянское хозяйства были вынуждены подчиняться требованиям всероссийского рынка. В экономику всё более проникали товарные отношения.</w:t>
      </w:r>
    </w:p>
    <w:p w:rsidR="00872345" w:rsidRDefault="00872345">
      <w:pPr>
        <w:ind w:left="-851" w:right="-716"/>
        <w:rPr>
          <w:b/>
          <w:snapToGrid w:val="0"/>
          <w:sz w:val="28"/>
        </w:rPr>
      </w:pPr>
      <w:r>
        <w:rPr>
          <w:b/>
          <w:i/>
          <w:snapToGrid w:val="0"/>
          <w:sz w:val="28"/>
        </w:rPr>
        <w:t xml:space="preserve">  </w:t>
      </w:r>
      <w:r>
        <w:rPr>
          <w:b/>
          <w:snapToGrid w:val="0"/>
          <w:sz w:val="28"/>
        </w:rPr>
        <w:t>Рост производства хлеба на продажу привёл к значительным изменениям в землепользовании. В чернозёмной полосе помещики увеличивали собственные запашки и за полвека отняли у крестьян половину земель, бывших в их пользовании. Наступление помещиков вызвало резкий отпор со стороны крестьян. В нечернозёмных губерниях земля давала низкие урожаи, помещики были менее заинтересованными в увеличении своих посевов, они могли получить доход и за счёт оброков.</w:t>
      </w:r>
    </w:p>
    <w:p w:rsidR="00872345" w:rsidRDefault="00872345">
      <w:pPr>
        <w:ind w:left="-851" w:right="-716"/>
        <w:rPr>
          <w:b/>
          <w:snapToGrid w:val="0"/>
          <w:sz w:val="28"/>
        </w:rPr>
      </w:pPr>
      <w:r>
        <w:rPr>
          <w:b/>
          <w:snapToGrid w:val="0"/>
          <w:sz w:val="28"/>
        </w:rPr>
        <w:t xml:space="preserve">  </w:t>
      </w:r>
    </w:p>
    <w:p w:rsidR="00872345" w:rsidRDefault="00872345">
      <w:pPr>
        <w:ind w:left="-851" w:right="-716"/>
        <w:jc w:val="center"/>
        <w:rPr>
          <w:b/>
          <w:snapToGrid w:val="0"/>
          <w:sz w:val="36"/>
          <w:u w:val="single"/>
        </w:rPr>
      </w:pPr>
      <w:r>
        <w:rPr>
          <w:b/>
          <w:snapToGrid w:val="0"/>
          <w:sz w:val="36"/>
          <w:u w:val="single"/>
          <w:lang w:val="en-US"/>
        </w:rPr>
        <w:t>IV.</w:t>
      </w:r>
      <w:r>
        <w:rPr>
          <w:b/>
          <w:snapToGrid w:val="0"/>
          <w:sz w:val="36"/>
          <w:u w:val="single"/>
        </w:rPr>
        <w:t>Революционная ситуация 1859 – 1861гг.</w:t>
      </w:r>
    </w:p>
    <w:p w:rsidR="00872345" w:rsidRDefault="00872345">
      <w:pPr>
        <w:ind w:left="-851" w:right="-716"/>
        <w:jc w:val="center"/>
        <w:rPr>
          <w:b/>
          <w:snapToGrid w:val="0"/>
          <w:sz w:val="36"/>
        </w:rPr>
      </w:pPr>
    </w:p>
    <w:p w:rsidR="00872345" w:rsidRDefault="00872345">
      <w:pPr>
        <w:pStyle w:val="a6"/>
      </w:pPr>
      <w:r>
        <w:t xml:space="preserve">  На кануне отмены крепостного права впервые в истории страны сложились объективные причины, которые создали революционную ситуацию, то есть такое положение, при котором возможна революция. Не каждая революционная ситуация заканчивается революцией, так как необходимо ещё и наличие определённых факторов, но без такой ситуации невозможна никакая революция.</w:t>
      </w:r>
    </w:p>
    <w:p w:rsidR="00872345" w:rsidRDefault="00872345">
      <w:pPr>
        <w:ind w:left="-851" w:right="-716"/>
        <w:rPr>
          <w:b/>
          <w:snapToGrid w:val="0"/>
          <w:sz w:val="28"/>
        </w:rPr>
      </w:pPr>
      <w:r>
        <w:rPr>
          <w:b/>
          <w:snapToGrid w:val="0"/>
          <w:sz w:val="28"/>
        </w:rPr>
        <w:t xml:space="preserve">  Решающее значение в возникновении революционной ситуации середины 19 –ого века имела обострение нужд и бедствий всех трудящихся и широкое крестьянское движение в стране. Положение народных масс ухудшалось в результате судорожных усилий помещиков поднять свои доходы путём увеличения барщины, оброка, урочных заданий, натуральных повинностей. На этом фоне тяготы, связанные с Крымской войной, носили зачастую катастрофический характер. Правительство ввело дополнительные ополченческие и усилило рекрутские наборы, увеличило налоги, проводило реквизиции лошадей и скота для армии. Война оторвала от мирного труда более десяти процентов взрослых мужчин, на тринадцать процентов сократило поголовье скота. Крестьянское хозяйство ещё более разорялось. Несли большие убытки и помещики, так как за годы войны вывоз хлеба сократился в тринадцать раз, льна - в восемь раз. Шеф жандармов А. Ф. Орлов (до 1856г.), министр внутренних дел и государственных имуществ докладывали царю о тяжёлом положении крестьянства и городских низов, о возможности широких волнений ещё в начале Крымской войны. Н. Г. Чернышевский в журнале «Современник» писал о чрезвычайном истощении крестьян на основе данных статистического обследования, проводимого офицерами Генерального штаба. В 1860 году основной пищей крестьян Рязанской губернии был ржаной хлеб и пустые щи. Употребление каши уже было признаком некоторого довольства и стало характерно для более зажиточных дворов; мясная пища была чрезвычайной редкостью. Даже картофеля было не достаточно. Летом у крестьян не доставало и хлеба. Недоимки по государственным налогам в последние двадцать лет перед  реформой по этой губернии выросли в семь раз. Таким же тяжёлым было и положение крестьян в других губерниях.</w:t>
      </w:r>
    </w:p>
    <w:p w:rsidR="00872345" w:rsidRDefault="00872345">
      <w:pPr>
        <w:ind w:left="-851" w:right="-716"/>
        <w:rPr>
          <w:b/>
          <w:snapToGrid w:val="0"/>
          <w:sz w:val="28"/>
        </w:rPr>
      </w:pPr>
      <w:r>
        <w:rPr>
          <w:b/>
          <w:snapToGrid w:val="0"/>
          <w:sz w:val="28"/>
        </w:rPr>
        <w:t xml:space="preserve">  Результатом этого был значительный рост крестьянского движения. По далеко не полным сведениям, в 1857 году было 192 массовых крестьянских выступления, в 1858 году – 528, и в 1859 году – 938. В крестьянском движении накануне реформы проявились новые черты. Больше происходило открытых нападений на помещиков, участились вооружённые столкновения с войсками, выступления стали массовыми, охватывая иногда несколько сёл. Изменилась и общая обстановка в деревне. Открытые массовые выступления опирались на ещё большее массовое недовольство большинства крестьянства, проявившееся в пассивных формах сопротивления. К последним относились в частности, многочисленные случаи плохой работы на помещика. Описанная выше работа на барщине (придёт позже, сделает меньше и прочее) напоминает современные</w:t>
      </w:r>
    </w:p>
    <w:p w:rsidR="00872345" w:rsidRDefault="00872345">
      <w:pPr>
        <w:ind w:left="-851" w:right="-716"/>
        <w:rPr>
          <w:b/>
          <w:snapToGrid w:val="0"/>
          <w:sz w:val="28"/>
        </w:rPr>
      </w:pPr>
      <w:r>
        <w:rPr>
          <w:b/>
          <w:snapToGrid w:val="0"/>
          <w:sz w:val="28"/>
        </w:rPr>
        <w:t>забастовки. Крестьяне отказывались платить налоги, сообщая, что платить нечем, не выходили выполнять натуральные повинности, участились побеги.</w:t>
      </w:r>
    </w:p>
    <w:p w:rsidR="00872345" w:rsidRDefault="00872345">
      <w:pPr>
        <w:pStyle w:val="a6"/>
      </w:pPr>
      <w:r>
        <w:t xml:space="preserve">  Массовый характер этого классового сопротивления делал подавление его более трудным, чем открытых восстаний. Заставить работать или платить налоги многие миллионы крестьян, часто даже сёла и волости было сложно. Ведь нельзя было над каждым крестьянином ставить надсмотрщика, а у миллионов дворов из года в год описывать имущество за долги. Когда эти явления были единичны, с ними справлялись помещики и полиция довольно легко, а теперь вся масса стала озлобленной, плохо повинующейся. Растущий «дух неповиновения» состояния общего брожения и непокорства крестьян делал, по словам историка крестьянского движения И. И. Игнатовича, из каждого имения маленький вулкан, грозящий постоянно извержением. Часто этот «дух неповиновения» был так велик, мелкие столкновения так часты и так невыгодно отражались на помещичьем хозяйстве, что помещики обращались с просьбой прислать воинские команды, но встречали, несмотря на полное сочувствие к помещикам, отказ администрации ввиду массовых таких случаев и отсутствия видимых поводов. Поэтому дворянская масса, инстинктивно ощущавшая возможность «второй пугачёвщины», выражало резкое недовольство действиями властей, которые якобы «распустили» крестьян.</w:t>
      </w:r>
    </w:p>
    <w:p w:rsidR="00872345" w:rsidRDefault="00872345">
      <w:pPr>
        <w:pStyle w:val="a6"/>
      </w:pPr>
      <w:r>
        <w:t xml:space="preserve">   Литература этого периода полна указаниями на рост неповиновения, на опасность повторения пугачёвщины. Но мало кто из дворян понимал, что надо просто отменить крепостное право как главную причину озлобления и недовольства крестьянства. Большинство считало, что повиновения можно достичь насилием, что нужна «железная рука».</w:t>
      </w:r>
    </w:p>
    <w:p w:rsidR="00872345" w:rsidRDefault="00872345">
      <w:pPr>
        <w:pStyle w:val="a6"/>
      </w:pPr>
      <w:r>
        <w:t xml:space="preserve">  Социальная психология дворянства не изменялась, тогда, как социальная психология крестьянства стала совсем другой. Раньше крестьяне мирились с тем, что их грабили и истязали, теперь отвечали на это восстаниями, поджогами, убийствами помещиков и управляющих, а чаще всего массовыми неповиновениями.</w:t>
      </w:r>
    </w:p>
    <w:p w:rsidR="00872345" w:rsidRDefault="00872345">
      <w:pPr>
        <w:pStyle w:val="a6"/>
      </w:pPr>
      <w:r>
        <w:t xml:space="preserve">  Враждебное отношение к помещикам и крепостному праву делало крестьян восприимчивыми ко всякому роду слухам. В 1854 и 1855 годах во время издания указов о призыве добровольцев в морскую флотилию, а затем в государственное ополчение крестьяне поняли их как обещание свободы за добровольную службу и самовольно массами уходили в города, чтобы записаться в ополчение. </w:t>
      </w:r>
    </w:p>
    <w:p w:rsidR="00872345" w:rsidRDefault="00872345">
      <w:pPr>
        <w:pStyle w:val="a6"/>
      </w:pPr>
      <w:r>
        <w:t xml:space="preserve">  Для подавления этих массовых волнений, охвативших шестнадцать губерний, были посланы войска, и произошли столкновения солдат с крестьянами, в которых, по официальным данным, было убито тридцать шесть и ранено пятьдесят семь человек.</w:t>
      </w:r>
    </w:p>
    <w:p w:rsidR="00872345" w:rsidRDefault="00872345">
      <w:pPr>
        <w:pStyle w:val="a6"/>
      </w:pPr>
      <w:r>
        <w:t xml:space="preserve">  После окончания войны крестьянские волнения усилились. В 1856 году в южных губерниях распространились слухи, что в Таврии раздают землю и дают вольную. Появились «очевидцы», которые рассказывали, что в Перекопе «в золотом шатре сидит царь и всем пришедшим раздаёт волю, а не явившиеся остаются в полной неволе». Движение в «Таврию за волей» началось в Екатеринословской губернии. Только их двух уездов – число бежавших доходило до девяти тысяч человек. Целые деревни снимались с мест и на кибитках со своим скарбом уходили в Крым. Затем двинулись крестьяне Херсонской, Полтавской, Харьковской, Черниговской, Курской, Орловской губерний. Из Херсонской губернии ушло три тысячи человек. Против крестьян были посланы воинские команды и, по официальным данным, произошло шесть кровавых столкновений.</w:t>
      </w:r>
    </w:p>
    <w:p w:rsidR="00872345" w:rsidRDefault="00872345">
      <w:pPr>
        <w:pStyle w:val="a6"/>
      </w:pPr>
      <w:r>
        <w:t xml:space="preserve">  В 1857 году было широкое выступление грузинских крестьян в Менгрелли. Вооружившись кольями, дубинами, пиками, более десяти тысяч повстанцев нападали на помещиков и представителей администрации, требовали освобождения от барщины и наделения землёй.</w:t>
      </w:r>
    </w:p>
    <w:p w:rsidR="00872345" w:rsidRDefault="00872345">
      <w:pPr>
        <w:pStyle w:val="a6"/>
      </w:pPr>
      <w:r>
        <w:t xml:space="preserve">  В 1858 – 1859 годах развернулось массовое «трезвенное движение» в ответ на повышение цен на водку. Движение охватило тридцать две губернии. Крестьяне и городские низы громили питейные заведения, бойкотировали их. В 1860 году была отменена система откупов и введена акцизная продажа спиртных напитков, при которой стала развиваться конкуренция среди торговцев. Это было прямым следствием широких крестьянских выступлений.</w:t>
      </w:r>
    </w:p>
    <w:p w:rsidR="00872345" w:rsidRDefault="00872345">
      <w:pPr>
        <w:pStyle w:val="a6"/>
      </w:pPr>
    </w:p>
    <w:p w:rsidR="00872345" w:rsidRDefault="00872345">
      <w:pPr>
        <w:pStyle w:val="a6"/>
        <w:jc w:val="center"/>
        <w:rPr>
          <w:sz w:val="36"/>
          <w:u w:val="single"/>
        </w:rPr>
      </w:pPr>
      <w:r>
        <w:rPr>
          <w:sz w:val="36"/>
          <w:u w:val="single"/>
          <w:lang w:val="en-US"/>
        </w:rPr>
        <w:t>V.</w:t>
      </w:r>
      <w:r>
        <w:rPr>
          <w:sz w:val="36"/>
          <w:u w:val="single"/>
        </w:rPr>
        <w:t>Крестьянская реформа: освобождение крестьян.</w:t>
      </w:r>
    </w:p>
    <w:p w:rsidR="00872345" w:rsidRDefault="00872345">
      <w:pPr>
        <w:pStyle w:val="a6"/>
        <w:jc w:val="center"/>
        <w:rPr>
          <w:sz w:val="36"/>
          <w:u w:val="single"/>
        </w:rPr>
      </w:pPr>
    </w:p>
    <w:p w:rsidR="00872345" w:rsidRDefault="00872345">
      <w:pPr>
        <w:pStyle w:val="a6"/>
        <w:jc w:val="center"/>
        <w:rPr>
          <w:sz w:val="36"/>
          <w:u w:val="single"/>
        </w:rPr>
      </w:pPr>
    </w:p>
    <w:p w:rsidR="00872345" w:rsidRDefault="00872345">
      <w:pPr>
        <w:pStyle w:val="a6"/>
      </w:pPr>
      <w:r>
        <w:t xml:space="preserve">Вопрос о крепостном праве составил тяжёлую заботу для правительства ещё во время императора Николая </w:t>
      </w:r>
      <w:r>
        <w:rPr>
          <w:lang w:val="en-US"/>
        </w:rPr>
        <w:t xml:space="preserve">I. </w:t>
      </w:r>
      <w:r>
        <w:t xml:space="preserve">Крепостной строй явно устарел. Нельзя было оставлять крестьян в бесправном состоянии рабства. Нельзя было ожидать роста и развития государственных сил при господстве в </w:t>
      </w:r>
      <w:r>
        <w:rPr>
          <w:lang w:val="en-US"/>
        </w:rPr>
        <w:t>P</w:t>
      </w:r>
      <w:r>
        <w:t>оссии отживших форм крепостного помещичьего хозяйства. Восточная война ясно показала отсталость и слабость государства, и необходимость внутренних перемен.</w:t>
      </w:r>
      <w:r>
        <w:rPr>
          <w:lang w:val="en-US"/>
        </w:rPr>
        <w:t xml:space="preserve"> </w:t>
      </w:r>
      <w:r>
        <w:t>Все понимали, что эти перемены должны были начаться именно с крепостного права, с «улучшения быта крепостных крестьян», как тогда принято было выражаться о крестьянском освобождении.</w:t>
      </w:r>
    </w:p>
    <w:p w:rsidR="00872345" w:rsidRDefault="00872345">
      <w:pPr>
        <w:pStyle w:val="a6"/>
      </w:pPr>
      <w:r>
        <w:t xml:space="preserve">  Вскоре после заключения мира (1856) император Александр </w:t>
      </w:r>
      <w:r>
        <w:rPr>
          <w:lang w:val="en-US"/>
        </w:rPr>
        <w:t>II</w:t>
      </w:r>
      <w:r>
        <w:t xml:space="preserve">, беседуя с дворянскими депутатами в Москве, сказал знаменитые слова о том, что «лучше отменить крепостное право сверху, нежели дожидаться того времени, когда оно само собой начнёт отменяться снизу». Эти слова имели в виду неспокойное состояние, крепостных, которые ждали освобождения и волновались год от году заметнее и сильнее. Слова государя произвели очень большое впечатление на всё русское общество. Обсуждение крестьянского вопроса стало на очередь не только в правительственных сферах, но и в частных кругах. В печати и в обществе образовались разные направления. В то время как одни старались по возможности сохранять старые порядки и оградить права землевладельцев, другие стремились достичь освобождения крестьян с наилучшими для них условиями. В том и другом направлении составлялись проекты и записки, отчасти попадавшие в печать, отчасти же в рукописном виде представленные правительству. Раньше, чем правительство успело приступить к работе по освобождению крестьян, возникли частные проекты освобождения. Самые основательные из них считали необходимым совершать освобождение крестьян с наделением их землёй. За такой именно способ освобождения высказывались близкие государю лица – брат его, великий князь Константин Николаевич, и великая княгиня Елена Павловна (вдова великого князя Михаила Павловича). Благодаря их личному влиянию к делу крестьянской реформы были привлечены столь выдающиеся лица, как Николай Алексеевич Милютин, князь В. А. Черкасский, Юрий Фёдорович Самарин и другие такие же горячие поборники крестьянских интересов. За освобождение крестьян с землёй встал и граф Яков Иванович Ростовцев, любимец государя и его близкий сотрудник по управлению военно-учебными заведениями. Ростовцев в ряде письменных и устных докладов разъяснил государю технические подробности предстоящей крестьянской реформы и убедил его в необходимости наделить крестьян землёй, чтобы не сделать их безземельными батраками. Таким образом, сам государь усвоил мысль о желательности земельных наделов для крестьян. </w:t>
      </w:r>
    </w:p>
    <w:p w:rsidR="00872345" w:rsidRDefault="00872345">
      <w:pPr>
        <w:pStyle w:val="a6"/>
      </w:pPr>
      <w:r>
        <w:t xml:space="preserve">  </w:t>
      </w:r>
      <w:r>
        <w:rPr>
          <w:i/>
        </w:rPr>
        <w:t>Внешний ход крестьянской реформы</w:t>
      </w:r>
      <w:r>
        <w:t xml:space="preserve"> был таков. В начале 1857 года стал действовать «секретный» комитет, учреждённый государем для обсуждения мер по устройству быта крестьян. Комитет предложил совершить освобождение крестьян постепенно, без крутых и резких переворотов. Но это не соответствовало намерениям императора Александра, который желал скорого и определённого решения крестьянского вопроса. Поэтому, когда в комитет поступило заявление дворян литовских губерний (Виленской, Ковенской и Гродненской) о желании их освободить своих крестьян без земли, то государь приказал ускорить обсуждение этого дела. Мнение по данному делу в комитете разделились; часть членов комитета (во главе с великим князем Константином Николаевичем) высказалась за то, чтобы разрешить освобождение с землёй, а не без земли и притом сделать это гласно – так, чтобы все узнали о намерении правительства немедля приступить к преобразованию крестьянского быта. Государь одобрил это мнение, и рескрипт государя, данный (в ноябре 1857 года) виленскому генерал – губернатору Назимову, возвестил всем государствам о том, что реформа началась. Литовским дворянам было указано образовать по губерниям дворянские </w:t>
      </w:r>
      <w:r>
        <w:rPr>
          <w:i/>
        </w:rPr>
        <w:t>губернские комитеты</w:t>
      </w:r>
      <w:r>
        <w:t xml:space="preserve"> для обсуждения условий освобождения крестьян и составления проекта «положений» об устройстве крестьянского быта. Правительство ожидало, что, узнав об учреждении губернских комитетов в литовских губерниях, дворянские общества прочих губерний сами поймут необходимость приступить к обсуждению условий крестьянской реформы и станут ходатайствовать об устройстве у себя таких же губернских комитетов по крестьянскому делу. Действительно, из разных губерний стали поступать адресы дворянства с выражением готовности приняться за улучшение быта крестьян, и государь разрешил открытия в губерниях губернских комитетов, составленных из местных дворян. Для руководства занятиями этих комитетов была дана общая для всех их программа. Для объединения же всех мер по крестьянскому делу «секретный» комитет был преобразован в </w:t>
      </w:r>
      <w:r>
        <w:rPr>
          <w:i/>
        </w:rPr>
        <w:t>главный комитет</w:t>
      </w:r>
      <w:r>
        <w:t xml:space="preserve"> под председательством самого государя (1858).</w:t>
      </w:r>
    </w:p>
    <w:p w:rsidR="00872345" w:rsidRDefault="00872345">
      <w:pPr>
        <w:pStyle w:val="a6"/>
      </w:pPr>
      <w:r>
        <w:rPr>
          <w:i/>
        </w:rPr>
        <w:t xml:space="preserve">  </w:t>
      </w:r>
      <w:r>
        <w:t>Так началось обсуждение крестьянской реформы. Когда губернские комитеты изготовили свои проекты положений об улучшении быта крестьян, они должны были представить их на рассмотрение главного комитета и прислать в Петербург свои депутатов для совместного обсуждения дела в главном комитете. Так как проекты губернских комитетов во многом различались между собой, то для их рассмотрения и согласования была образована при главном комитете особая редакционная комиссия под председательством Я. И. Ростовцева (1859). Комиссия эта по ходу дела была разделена на четыре отделения, или четыре</w:t>
      </w:r>
      <w:r>
        <w:rPr>
          <w:i/>
        </w:rPr>
        <w:t xml:space="preserve"> редакционные комиссии</w:t>
      </w:r>
      <w:r>
        <w:t>. В их состав вошли как чиновники разных министерств, так и дворяне по приглашению Ростовцева. Кроме того, дворянские депутаты из губерний дважды вызывались в Петербург для занятий в редакционных комиссиях. С их участием комиссии обсудили все основные крестьянские реформы и составили проект положения об освобождении крестьян. Проект этот был очень благожелателен для крестьян благодаря стараниям прогрессивных членов комиссий, Н. А. Милютина, князя Черкасского, Ю. Ф. Самарина и других. В самый разгар работ комиссий их председатель Я. И. Ростовский скончался и на его место был назначен граф Панин. Ростовцев был горячим сторонником освобождения крестьян; Панина же считали «крепостником». Тем не менее, работы редакционных комиссий продолжались и при Панине в том же духе, как при Ростовцеве. В конце 1860 года комиссии окончили своё дело и были закрыты. Составленные ими законопроекты были переданы в главный комитет.</w:t>
      </w:r>
    </w:p>
    <w:p w:rsidR="00872345" w:rsidRDefault="00872345">
      <w:pPr>
        <w:pStyle w:val="a6"/>
      </w:pPr>
      <w:r>
        <w:t xml:space="preserve">  Главный комитет, под представительством великого князя Константина Николаевича, рассмотрел выработанный комиссиями проект положения об освобождении крестьян и придал ему окончательную форму. После этого, в начале 1861 года, проект был внесён в государственный совет и по желанию государя немедленно рассмотрен. Государь лично открыл занятия государственного совета по крестьянскому делу и в пространной речи указал совету, что на уничтожение крепостного права «есть его прямая воля». В исполнении этой воли совет рассмотрел и одобрил проект закона об освобождении крестьян. В годовщину своего вступления на престол, 19 февраля 1861 года, император Александр </w:t>
      </w:r>
      <w:r>
        <w:rPr>
          <w:lang w:val="en-US"/>
        </w:rPr>
        <w:t>II</w:t>
      </w:r>
      <w:r>
        <w:t xml:space="preserve"> подписал знаменитый манифест об отмене крепостного права и утвердил «положение о крестьянах, вышедших из крепостной зависимости». Великое дело «царя – освободителя» было совершено: пятого марта «воля» была обнародована и принята народом спокойно, без всяких общественных потрясений.</w:t>
      </w:r>
    </w:p>
    <w:p w:rsidR="00872345" w:rsidRDefault="00872345">
      <w:pPr>
        <w:pStyle w:val="a6"/>
      </w:pPr>
      <w:r>
        <w:t xml:space="preserve">  </w:t>
      </w:r>
      <w:r>
        <w:rPr>
          <w:i/>
        </w:rPr>
        <w:t>Основания крестьянской реформы</w:t>
      </w:r>
      <w:r>
        <w:t xml:space="preserve"> были таковы. Крепостное право помещиков на крестьян было отменено навсегда, и крестьяне признаны свободными без всякого выкупа в пользу помещиков. Государственная власть не видела в этом никакого нарушения прав помещиков. В своей речи государственному совету император Александр указывал на то, что крепостное право в России имело государственный характер: «право это установлено самодержавной властью, и только самодержавная власть может уничтожить его».  В тоже время земля, на которой жили и работали крестьяне, была признана собственностью помещиков. Крестьяне освобождались с тем, что помещики предоставят им в пользование их усадебную оседлость и некоторое количество полевой земли и других угодий («полевой надел»). Но крестьяне за усадьбу и полевой надел должны были отбывать в пользу помещиков повинности деньгами или работой. По закону крестьяне получили право выкупить у помещиков свои усадьбы и, сверх того, могли по соглашению со своими помещиками приобрести у них в собственность полевые наделы. Пока крестьяне пользовались наделами, не выкупив их, они находились в зависимости от помещиков и назывались </w:t>
      </w:r>
      <w:r>
        <w:rPr>
          <w:i/>
        </w:rPr>
        <w:t>временно – обязанными</w:t>
      </w:r>
      <w:r>
        <w:t xml:space="preserve"> крестьянами. Когда же соглашение о выкупе было достигнуто (на что предполагался срок в два года), то крестьяне получали полную самостоятельность и становились </w:t>
      </w:r>
      <w:r>
        <w:rPr>
          <w:i/>
        </w:rPr>
        <w:t>крестьянами – собственниками</w:t>
      </w:r>
      <w:r>
        <w:t>. Вышедшие из крепостной зависимости крестьяне соединялись по месту жительства в «сельские общества», из которых для ближайшего управления и суда ставились «волости». В сёлах и волостях крестьянам дано было самоуправление по тому образу, какой был установлен для крестьян государственных при графе Киселёве. В сельских обществах было установлено общинное пользование полевою землёю, при котором крестьянский «мир» переделял землю между крестьянами и все повинности со своей земли отбывал за круговою порукою.</w:t>
      </w:r>
    </w:p>
    <w:p w:rsidR="00872345" w:rsidRDefault="00872345">
      <w:pPr>
        <w:pStyle w:val="a6"/>
      </w:pPr>
      <w:r>
        <w:t xml:space="preserve">  Одним из самых трудных и сложных вопросов в деле крестьянской реформы было определение размеров крестьянского полевого надела. Земледелие не везде было главным занятием крестьян. Только в южном чернозёмном районе крестьяне усиленно пахали и на себя, и на помещиков, отбывая на барском поле тяжёлую «барщину». В центральных же областях, где земледелие не было прибыльным, крестьяне чаще «ходили на оброке», то есть, занимались промыслами на стороне и вместо барщинного труда платили ежегодно помещикам установленную сумму – оброк. На юге помещику было выгоднее отпустить крестьян на волю без земли, а землю удержать за собой, потому что именно земля там и представляла главную ценность. На севере же помещикам не выгодна была потеря именно крестьянского оброка, а не земли. Поэтому одни помещики старались по возможности уменьшить крестьянские земляные наделы, а другие были к этому совершенно равнодушны. С другой стороны, в южных губерниях пахотной земли было много, а населения не густо, и поэтому крестьяне пользовались землёю без стеснения; в центре же государства при большом росте населения сильно чувствовалось малоземелье. Под влиянием столь разнообразных местных условий и приходилось определять размеры крестьянского полевого надела особо для каждой «полосы» государства (нечернозёмной, чернозёмной, степной) и для отдельных губерний и даже уездов. Размеры надела определялись от одной до двенадцати десятин на «душу» (то есть на лицо, записанное в крестьянах за помещиком по ревизии). Дворовые же люди, находившиеся в личном услужении помещикам и не пахавшие земли, освобождались без земельного надела и по прошествии двух лет временно – обязанного состояния под властью помещиков могли приписаться к какому – либо сельскому или городскому обществу.</w:t>
      </w:r>
    </w:p>
    <w:p w:rsidR="00872345" w:rsidRDefault="00872345">
      <w:pPr>
        <w:pStyle w:val="a6"/>
      </w:pPr>
      <w:r>
        <w:t xml:space="preserve">  Указанный в законе выкуп усадеб и полевых наделов для крестьян был бы невозможен, если бы правительство не пришло на помощь крестьянству – устройством особой «выкупной операции». В положении 19 февраля было определено, что помещики могут получать от правительства немедленно «выкупную ссуду», как только устроены будут их земельные отношения с крестьянами и будут точно установлен крестьянский земельный надел. Ссуда выдавалась помещику доходными процентными бумагами, и зачитывались за крестьянами как казённый долг. Крестьяне должны были погасить этот долг в рассрочку, в течение сорока девяти лет, «выкупными платежами».</w:t>
      </w:r>
    </w:p>
    <w:p w:rsidR="00872345" w:rsidRDefault="00872345">
      <w:pPr>
        <w:pStyle w:val="a6"/>
      </w:pPr>
      <w:r>
        <w:t xml:space="preserve">  </w:t>
      </w:r>
      <w:r>
        <w:rPr>
          <w:i/>
        </w:rPr>
        <w:t>Осуществление крестьянской реформы</w:t>
      </w:r>
      <w:r>
        <w:t xml:space="preserve"> предполагалось путём соглашения между помещиками и их крестьянами, как о размерах надела, так и о всяких обязательных отношениях крестьян к их бывшим господам. Это соглашение надлежало изложить в «уставной грамоте» в течение двух лет со дня освобождения. Конечно, нельзя было надеяться на то, что помещики и крестьяне сами сумеют достигнуть мирного и справедливого конца своих давних отношений, не всегда гладких. Для разбора могущих возникнуть недоразумений, споров и жалоб была учреждена должность </w:t>
      </w:r>
      <w:r>
        <w:rPr>
          <w:i/>
        </w:rPr>
        <w:t>мировых посредников</w:t>
      </w:r>
      <w:r>
        <w:t xml:space="preserve">, избираемых из местных дворян. Мировые посредники должны были следить за правильностью и справедливостью сделок помещиков с их крепостными, выходящими на волю. Они утверждали уставные грамоты. Они наблюдали за ходом крестьянского самоуправления в сельских обществах и волостях. Важнейшие и сомнительные дела посредники докладывали уездному мировому съезду, состоявшему из мировых посредников всего уезда. Общее же руководство делом крестьянской реформы по губерниям было возложено на </w:t>
      </w:r>
      <w:r>
        <w:rPr>
          <w:i/>
        </w:rPr>
        <w:t xml:space="preserve">губернские по крестьянским делам присутствия. </w:t>
      </w:r>
      <w:r>
        <w:t>(Эти присутствия действовали под председательством губернатора и состояли из важнейших чинов губернии и представителей местного дворянства).</w:t>
      </w:r>
    </w:p>
    <w:p w:rsidR="00872345" w:rsidRDefault="00872345">
      <w:pPr>
        <w:pStyle w:val="a6"/>
      </w:pPr>
    </w:p>
    <w:p w:rsidR="00872345" w:rsidRDefault="00872345">
      <w:pPr>
        <w:pStyle w:val="a6"/>
        <w:jc w:val="center"/>
        <w:rPr>
          <w:sz w:val="36"/>
          <w:u w:val="single"/>
        </w:rPr>
      </w:pPr>
      <w:r>
        <w:rPr>
          <w:sz w:val="36"/>
          <w:u w:val="single"/>
          <w:lang w:val="en-US"/>
        </w:rPr>
        <w:t>VI.</w:t>
      </w:r>
      <w:r>
        <w:rPr>
          <w:sz w:val="36"/>
          <w:u w:val="single"/>
        </w:rPr>
        <w:t>Заключение.</w:t>
      </w:r>
    </w:p>
    <w:p w:rsidR="00872345" w:rsidRDefault="00872345">
      <w:pPr>
        <w:pStyle w:val="a6"/>
        <w:jc w:val="center"/>
        <w:rPr>
          <w:sz w:val="36"/>
          <w:u w:val="single"/>
        </w:rPr>
      </w:pPr>
    </w:p>
    <w:p w:rsidR="00872345" w:rsidRDefault="00872345">
      <w:pPr>
        <w:pStyle w:val="a6"/>
      </w:pPr>
      <w:r>
        <w:t>Так было совершено великое дело отмены крепостного права. Освобождение крестьян существенно изменило все основы русского государственного и общественного быта. Оно создало в центральных и южных областях России новый многолюдный (21 – 22 млн.) общественный класс. Прежде для управления им довольствовались помещичьей вотчиной властью. Теперь же управлять им должно было государство. Старые Екатерининские учреждения, установившие в уездах дворянское самоуправление, уже не годились для нового разно словного уездного населения. Надобно было создать заново местную администрацию и суд. Крестьянская реформа, таким образом, неизбежно вела к другим преобразованиям.</w:t>
      </w:r>
    </w:p>
    <w:p w:rsidR="00872345" w:rsidRDefault="00872345">
      <w:pPr>
        <w:pStyle w:val="a6"/>
      </w:pPr>
    </w:p>
    <w:p w:rsidR="00872345" w:rsidRDefault="00872345">
      <w:pPr>
        <w:pStyle w:val="a6"/>
        <w:jc w:val="center"/>
        <w:rPr>
          <w:sz w:val="36"/>
          <w:u w:val="single"/>
        </w:rPr>
      </w:pPr>
      <w:r>
        <w:rPr>
          <w:sz w:val="36"/>
          <w:u w:val="single"/>
        </w:rPr>
        <w:t>Список используемой литературы:</w:t>
      </w:r>
    </w:p>
    <w:p w:rsidR="00872345" w:rsidRDefault="00872345">
      <w:pPr>
        <w:pStyle w:val="a6"/>
        <w:jc w:val="center"/>
        <w:rPr>
          <w:sz w:val="36"/>
        </w:rPr>
      </w:pPr>
    </w:p>
    <w:p w:rsidR="00872345" w:rsidRDefault="00872345">
      <w:pPr>
        <w:pStyle w:val="a6"/>
        <w:numPr>
          <w:ilvl w:val="0"/>
          <w:numId w:val="3"/>
        </w:numPr>
        <w:tabs>
          <w:tab w:val="clear" w:pos="360"/>
          <w:tab w:val="num" w:pos="-491"/>
        </w:tabs>
        <w:ind w:left="-491"/>
        <w:jc w:val="center"/>
        <w:rPr>
          <w:sz w:val="36"/>
        </w:rPr>
      </w:pPr>
      <w:r>
        <w:rPr>
          <w:sz w:val="36"/>
        </w:rPr>
        <w:t>С. Ф. Платонов. Учебник русской истории. 1992 год.</w:t>
      </w:r>
    </w:p>
    <w:p w:rsidR="00872345" w:rsidRDefault="00872345">
      <w:pPr>
        <w:pStyle w:val="a6"/>
        <w:numPr>
          <w:ilvl w:val="0"/>
          <w:numId w:val="3"/>
        </w:numPr>
        <w:tabs>
          <w:tab w:val="clear" w:pos="360"/>
          <w:tab w:val="num" w:pos="-491"/>
        </w:tabs>
        <w:ind w:left="-491"/>
        <w:jc w:val="center"/>
        <w:rPr>
          <w:sz w:val="36"/>
        </w:rPr>
      </w:pPr>
      <w:r>
        <w:rPr>
          <w:sz w:val="36"/>
        </w:rPr>
        <w:t xml:space="preserve">В. Г. Тюкавкин, В. А. Корнилов. «История СССР 1861 – 1917 годов». 1990 год. </w:t>
      </w:r>
    </w:p>
    <w:p w:rsidR="00872345" w:rsidRDefault="00872345">
      <w:pPr>
        <w:pStyle w:val="a6"/>
        <w:rPr>
          <w:sz w:val="36"/>
        </w:rPr>
      </w:pPr>
      <w:r>
        <w:rPr>
          <w:sz w:val="36"/>
        </w:rPr>
        <w:t xml:space="preserve"> </w:t>
      </w:r>
    </w:p>
    <w:p w:rsidR="00872345" w:rsidRDefault="00872345">
      <w:pPr>
        <w:pStyle w:val="a6"/>
      </w:pPr>
      <w:r>
        <w:t xml:space="preserve">   </w:t>
      </w:r>
    </w:p>
    <w:p w:rsidR="00872345" w:rsidRDefault="00872345">
      <w:pPr>
        <w:pStyle w:val="a6"/>
      </w:pPr>
      <w:r>
        <w:t xml:space="preserve">  </w:t>
      </w:r>
    </w:p>
    <w:p w:rsidR="00872345" w:rsidRDefault="00872345">
      <w:pPr>
        <w:pStyle w:val="a6"/>
      </w:pPr>
      <w:r>
        <w:t xml:space="preserve">       </w:t>
      </w:r>
    </w:p>
    <w:p w:rsidR="00872345" w:rsidRDefault="00872345">
      <w:pPr>
        <w:pStyle w:val="a6"/>
      </w:pPr>
    </w:p>
    <w:p w:rsidR="00872345" w:rsidRDefault="00872345">
      <w:pPr>
        <w:pStyle w:val="a6"/>
        <w:jc w:val="center"/>
      </w:pPr>
    </w:p>
    <w:p w:rsidR="00872345" w:rsidRDefault="00872345">
      <w:pPr>
        <w:pStyle w:val="a6"/>
      </w:pPr>
      <w:r>
        <w:t xml:space="preserve">   </w:t>
      </w:r>
    </w:p>
    <w:p w:rsidR="00872345" w:rsidRDefault="00872345">
      <w:pPr>
        <w:pStyle w:val="a6"/>
      </w:pPr>
      <w:r>
        <w:t xml:space="preserve">          </w:t>
      </w:r>
    </w:p>
    <w:p w:rsidR="00872345" w:rsidRDefault="00872345">
      <w:pPr>
        <w:pStyle w:val="a6"/>
        <w:jc w:val="center"/>
        <w:rPr>
          <w:sz w:val="36"/>
          <w:u w:val="single"/>
        </w:rPr>
      </w:pPr>
    </w:p>
    <w:p w:rsidR="00872345" w:rsidRDefault="00872345">
      <w:pPr>
        <w:pStyle w:val="a6"/>
      </w:pPr>
    </w:p>
    <w:p w:rsidR="00872345" w:rsidRDefault="00872345">
      <w:pPr>
        <w:pStyle w:val="a6"/>
      </w:pPr>
      <w:r>
        <w:t xml:space="preserve">  </w:t>
      </w:r>
    </w:p>
    <w:p w:rsidR="00872345" w:rsidRDefault="00872345">
      <w:pPr>
        <w:pStyle w:val="a6"/>
      </w:pPr>
      <w:r>
        <w:t xml:space="preserve">     </w:t>
      </w:r>
    </w:p>
    <w:p w:rsidR="00872345" w:rsidRDefault="00872345">
      <w:pPr>
        <w:pStyle w:val="a6"/>
      </w:pPr>
      <w:r>
        <w:t xml:space="preserve">  </w:t>
      </w:r>
    </w:p>
    <w:p w:rsidR="00872345" w:rsidRDefault="00872345">
      <w:pPr>
        <w:pStyle w:val="a6"/>
      </w:pPr>
      <w:r>
        <w:t xml:space="preserve">  </w:t>
      </w:r>
    </w:p>
    <w:p w:rsidR="00872345" w:rsidRDefault="00872345">
      <w:pPr>
        <w:ind w:left="-851" w:right="-716"/>
        <w:rPr>
          <w:b/>
          <w:snapToGrid w:val="0"/>
          <w:sz w:val="28"/>
        </w:rPr>
      </w:pPr>
      <w:r>
        <w:rPr>
          <w:b/>
          <w:snapToGrid w:val="0"/>
          <w:sz w:val="28"/>
        </w:rPr>
        <w:t xml:space="preserve">  </w:t>
      </w:r>
    </w:p>
    <w:p w:rsidR="00872345" w:rsidRDefault="00872345">
      <w:pPr>
        <w:ind w:left="-851" w:right="-716"/>
        <w:rPr>
          <w:b/>
          <w:snapToGrid w:val="0"/>
          <w:sz w:val="28"/>
        </w:rPr>
      </w:pPr>
      <w:r>
        <w:rPr>
          <w:b/>
          <w:snapToGrid w:val="0"/>
          <w:sz w:val="28"/>
        </w:rPr>
        <w:t xml:space="preserve">   </w:t>
      </w:r>
    </w:p>
    <w:p w:rsidR="00872345" w:rsidRDefault="00872345">
      <w:pPr>
        <w:ind w:left="-851" w:right="-716"/>
        <w:rPr>
          <w:b/>
          <w:snapToGrid w:val="0"/>
          <w:sz w:val="36"/>
          <w:u w:val="single"/>
        </w:rPr>
      </w:pPr>
      <w:r>
        <w:rPr>
          <w:b/>
          <w:snapToGrid w:val="0"/>
          <w:sz w:val="28"/>
        </w:rPr>
        <w:t xml:space="preserve">           </w:t>
      </w:r>
      <w:r>
        <w:rPr>
          <w:b/>
          <w:snapToGrid w:val="0"/>
          <w:sz w:val="36"/>
          <w:u w:val="single"/>
        </w:rPr>
        <w:t xml:space="preserve"> </w:t>
      </w:r>
    </w:p>
    <w:p w:rsidR="00872345" w:rsidRDefault="00872345">
      <w:pPr>
        <w:ind w:left="-851" w:right="-716"/>
        <w:rPr>
          <w:b/>
          <w:snapToGrid w:val="0"/>
          <w:sz w:val="28"/>
        </w:rPr>
      </w:pPr>
      <w:r>
        <w:rPr>
          <w:b/>
          <w:snapToGrid w:val="0"/>
          <w:sz w:val="28"/>
        </w:rPr>
        <w:t xml:space="preserve">  </w:t>
      </w:r>
    </w:p>
    <w:p w:rsidR="00872345" w:rsidRDefault="00872345">
      <w:pPr>
        <w:ind w:left="-851" w:right="-716"/>
        <w:rPr>
          <w:b/>
          <w:snapToGrid w:val="0"/>
          <w:sz w:val="28"/>
        </w:rPr>
      </w:pPr>
      <w:r>
        <w:rPr>
          <w:b/>
          <w:snapToGrid w:val="0"/>
          <w:sz w:val="28"/>
        </w:rPr>
        <w:t xml:space="preserve">   </w:t>
      </w:r>
    </w:p>
    <w:p w:rsidR="00872345" w:rsidRDefault="00872345">
      <w:pPr>
        <w:ind w:left="-851" w:right="-716"/>
        <w:jc w:val="center"/>
        <w:rPr>
          <w:b/>
          <w:snapToGrid w:val="0"/>
          <w:sz w:val="36"/>
          <w:u w:val="single"/>
        </w:rPr>
      </w:pPr>
    </w:p>
    <w:p w:rsidR="00872345" w:rsidRDefault="00872345">
      <w:pPr>
        <w:ind w:left="-851" w:right="-716"/>
        <w:rPr>
          <w:b/>
          <w:snapToGrid w:val="0"/>
          <w:sz w:val="28"/>
        </w:rPr>
      </w:pPr>
    </w:p>
    <w:p w:rsidR="00872345" w:rsidRDefault="00872345">
      <w:pPr>
        <w:ind w:left="-851" w:right="-716"/>
        <w:rPr>
          <w:b/>
          <w:snapToGrid w:val="0"/>
          <w:sz w:val="28"/>
        </w:rPr>
      </w:pPr>
    </w:p>
    <w:p w:rsidR="00872345" w:rsidRDefault="00872345">
      <w:pPr>
        <w:ind w:left="-851" w:right="-716"/>
        <w:jc w:val="center"/>
        <w:rPr>
          <w:b/>
          <w:snapToGrid w:val="0"/>
          <w:sz w:val="36"/>
          <w:lang w:val="en-US"/>
        </w:rPr>
      </w:pPr>
    </w:p>
    <w:p w:rsidR="00872345" w:rsidRDefault="00872345">
      <w:pPr>
        <w:ind w:left="-851" w:right="-716"/>
        <w:rPr>
          <w:b/>
          <w:sz w:val="28"/>
          <w:lang w:val="en-US"/>
        </w:rPr>
      </w:pPr>
    </w:p>
    <w:p w:rsidR="00872345" w:rsidRDefault="00872345">
      <w:bookmarkStart w:id="0" w:name="_GoBack"/>
      <w:bookmarkEnd w:id="0"/>
    </w:p>
    <w:sectPr w:rsidR="00872345">
      <w:headerReference w:type="even" r:id="rId7"/>
      <w:headerReference w:type="default" r:id="rId8"/>
      <w:pgSz w:w="12240" w:h="15840"/>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345" w:rsidRDefault="00872345">
      <w:r>
        <w:separator/>
      </w:r>
    </w:p>
  </w:endnote>
  <w:endnote w:type="continuationSeparator" w:id="0">
    <w:p w:rsidR="00872345" w:rsidRDefault="0087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345" w:rsidRDefault="00872345">
      <w:r>
        <w:separator/>
      </w:r>
    </w:p>
  </w:footnote>
  <w:footnote w:type="continuationSeparator" w:id="0">
    <w:p w:rsidR="00872345" w:rsidRDefault="008723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45" w:rsidRDefault="00872345">
    <w:pPr>
      <w:pStyle w:val="a3"/>
      <w:framePr w:wrap="around" w:vAnchor="text" w:hAnchor="margin" w:xAlign="center" w:y="1"/>
      <w:rPr>
        <w:rStyle w:val="a4"/>
      </w:rPr>
    </w:pPr>
    <w:r>
      <w:rPr>
        <w:rStyle w:val="a4"/>
        <w:noProof/>
      </w:rPr>
      <w:t>10</w:t>
    </w:r>
  </w:p>
  <w:p w:rsidR="00872345" w:rsidRDefault="008723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345" w:rsidRDefault="00872345">
    <w:pPr>
      <w:pStyle w:val="a3"/>
      <w:framePr w:wrap="around" w:vAnchor="text" w:hAnchor="margin" w:xAlign="center" w:y="1"/>
      <w:rPr>
        <w:rStyle w:val="a4"/>
      </w:rPr>
    </w:pPr>
    <w:r>
      <w:rPr>
        <w:rStyle w:val="a4"/>
        <w:noProof/>
      </w:rPr>
      <w:t>12</w:t>
    </w:r>
  </w:p>
  <w:p w:rsidR="00872345" w:rsidRDefault="008723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83689"/>
    <w:multiLevelType w:val="singleLevel"/>
    <w:tmpl w:val="A7366096"/>
    <w:lvl w:ilvl="0">
      <w:start w:val="1"/>
      <w:numFmt w:val="upperRoman"/>
      <w:lvlText w:val="%1."/>
      <w:lvlJc w:val="left"/>
      <w:pPr>
        <w:tabs>
          <w:tab w:val="num" w:pos="-131"/>
        </w:tabs>
        <w:ind w:left="-131" w:hanging="720"/>
      </w:pPr>
      <w:rPr>
        <w:rFonts w:hint="default"/>
      </w:rPr>
    </w:lvl>
  </w:abstractNum>
  <w:abstractNum w:abstractNumId="1">
    <w:nsid w:val="5DEE4E60"/>
    <w:multiLevelType w:val="singleLevel"/>
    <w:tmpl w:val="0419000F"/>
    <w:lvl w:ilvl="0">
      <w:start w:val="1"/>
      <w:numFmt w:val="decimal"/>
      <w:lvlText w:val="%1."/>
      <w:lvlJc w:val="left"/>
      <w:pPr>
        <w:tabs>
          <w:tab w:val="num" w:pos="360"/>
        </w:tabs>
        <w:ind w:left="360" w:hanging="360"/>
      </w:pPr>
    </w:lvl>
  </w:abstractNum>
  <w:abstractNum w:abstractNumId="2">
    <w:nsid w:val="76E4551F"/>
    <w:multiLevelType w:val="singleLevel"/>
    <w:tmpl w:val="7A42BFB0"/>
    <w:lvl w:ilvl="0">
      <w:start w:val="1"/>
      <w:numFmt w:val="upperRoman"/>
      <w:lvlText w:val="%1."/>
      <w:lvlJc w:val="left"/>
      <w:pPr>
        <w:tabs>
          <w:tab w:val="num" w:pos="1309"/>
        </w:tabs>
        <w:ind w:left="1309"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334"/>
    <w:rsid w:val="004C3334"/>
    <w:rsid w:val="006D46CC"/>
    <w:rsid w:val="00872345"/>
    <w:rsid w:val="00B05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52A8EC4-B128-4BB6-A680-66F97B03B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94" w:right="-1049"/>
      <w:outlineLvl w:val="0"/>
    </w:pPr>
    <w:rPr>
      <w:sz w:val="40"/>
    </w:rPr>
  </w:style>
  <w:style w:type="paragraph" w:styleId="2">
    <w:name w:val="heading 2"/>
    <w:basedOn w:val="a"/>
    <w:next w:val="a"/>
    <w:qFormat/>
    <w:pPr>
      <w:keepNext/>
      <w:ind w:left="-794" w:right="-1049"/>
      <w:jc w:val="center"/>
      <w:outlineLvl w:val="1"/>
    </w:pPr>
    <w:rPr>
      <w:sz w:val="40"/>
    </w:rPr>
  </w:style>
  <w:style w:type="paragraph" w:styleId="3">
    <w:name w:val="heading 3"/>
    <w:basedOn w:val="a"/>
    <w:next w:val="a"/>
    <w:qFormat/>
    <w:pPr>
      <w:keepNext/>
      <w:ind w:left="-284" w:right="-1049"/>
      <w:outlineLvl w:val="2"/>
    </w:pPr>
    <w:rPr>
      <w:sz w:val="44"/>
    </w:rPr>
  </w:style>
  <w:style w:type="paragraph" w:styleId="4">
    <w:name w:val="heading 4"/>
    <w:basedOn w:val="a"/>
    <w:next w:val="a"/>
    <w:qFormat/>
    <w:pPr>
      <w:keepNext/>
      <w:ind w:left="57" w:right="851"/>
      <w:jc w:val="center"/>
      <w:outlineLvl w:val="3"/>
    </w:pPr>
    <w:rPr>
      <w:b/>
      <w:sz w:val="52"/>
    </w:rPr>
  </w:style>
  <w:style w:type="paragraph" w:styleId="5">
    <w:name w:val="heading 5"/>
    <w:basedOn w:val="a"/>
    <w:next w:val="a"/>
    <w:qFormat/>
    <w:pPr>
      <w:keepNext/>
      <w:jc w:val="right"/>
      <w:outlineLvl w:val="4"/>
    </w:pPr>
    <w:rPr>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Block Text"/>
    <w:basedOn w:val="a"/>
    <w:semiHidden/>
    <w:pPr>
      <w:ind w:left="-851" w:right="-716"/>
    </w:pPr>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4183</Words>
  <Characters>23845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HOME</Company>
  <LinksUpToDate>false</LinksUpToDate>
  <CharactersWithSpaces>27973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USER</dc:creator>
  <cp:keywords/>
  <cp:lastModifiedBy>Irina</cp:lastModifiedBy>
  <cp:revision>2</cp:revision>
  <dcterms:created xsi:type="dcterms:W3CDTF">2014-09-06T05:43:00Z</dcterms:created>
  <dcterms:modified xsi:type="dcterms:W3CDTF">2014-09-06T05:43:00Z</dcterms:modified>
</cp:coreProperties>
</file>