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77" w:rsidRDefault="00540277">
      <w:pPr>
        <w:jc w:val="center"/>
        <w:rPr>
          <w:sz w:val="30"/>
          <w:szCs w:val="30"/>
        </w:rPr>
      </w:pPr>
    </w:p>
    <w:p w:rsidR="00821253" w:rsidRDefault="0082125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МИНИСТЕРСТВО ОБРАЗОВАНИЯ И НАУКИ </w:t>
      </w:r>
    </w:p>
    <w:p w:rsidR="00821253" w:rsidRDefault="00821253">
      <w:pPr>
        <w:jc w:val="center"/>
        <w:rPr>
          <w:sz w:val="30"/>
          <w:szCs w:val="30"/>
        </w:rPr>
      </w:pPr>
      <w:r>
        <w:rPr>
          <w:sz w:val="30"/>
          <w:szCs w:val="30"/>
        </w:rPr>
        <w:t>РОССИЙСКОЙ ФЕДЕРАЦИИ</w:t>
      </w:r>
    </w:p>
    <w:p w:rsidR="00821253" w:rsidRDefault="00821253">
      <w:pPr>
        <w:jc w:val="center"/>
        <w:rPr>
          <w:sz w:val="30"/>
          <w:szCs w:val="30"/>
        </w:rPr>
      </w:pPr>
    </w:p>
    <w:p w:rsidR="00821253" w:rsidRDefault="00821253">
      <w:pPr>
        <w:jc w:val="center"/>
        <w:rPr>
          <w:sz w:val="30"/>
          <w:szCs w:val="30"/>
        </w:rPr>
      </w:pPr>
      <w:r>
        <w:rPr>
          <w:sz w:val="30"/>
          <w:szCs w:val="30"/>
        </w:rPr>
        <w:t>ФЕДЕРАЛЬНОЕ АГЕНСТВО ПО ОБРАЗОВАНИЮ</w:t>
      </w:r>
    </w:p>
    <w:p w:rsidR="00821253" w:rsidRDefault="00821253">
      <w:pPr>
        <w:jc w:val="center"/>
        <w:rPr>
          <w:sz w:val="30"/>
          <w:szCs w:val="30"/>
        </w:rPr>
      </w:pPr>
    </w:p>
    <w:p w:rsidR="00821253" w:rsidRDefault="00821253">
      <w:pPr>
        <w:jc w:val="center"/>
      </w:pPr>
      <w:r>
        <w:t xml:space="preserve">Уральская государственная юридическая академия </w:t>
      </w:r>
    </w:p>
    <w:p w:rsidR="00821253" w:rsidRDefault="00821253">
      <w:pPr>
        <w:jc w:val="center"/>
      </w:pPr>
      <w:r>
        <w:t>Регионально-заочный факультет</w:t>
      </w:r>
    </w:p>
    <w:p w:rsidR="00821253" w:rsidRDefault="00821253">
      <w:pPr>
        <w:jc w:val="center"/>
      </w:pPr>
    </w:p>
    <w:p w:rsidR="00821253" w:rsidRDefault="00821253">
      <w:pPr>
        <w:jc w:val="center"/>
      </w:pPr>
    </w:p>
    <w:p w:rsidR="00821253" w:rsidRDefault="00821253">
      <w:pPr>
        <w:jc w:val="center"/>
      </w:pPr>
    </w:p>
    <w:p w:rsidR="00821253" w:rsidRDefault="00821253">
      <w:pPr>
        <w:jc w:val="center"/>
      </w:pPr>
    </w:p>
    <w:p w:rsidR="00821253" w:rsidRDefault="00821253">
      <w:pPr>
        <w:jc w:val="center"/>
      </w:pPr>
    </w:p>
    <w:p w:rsidR="00821253" w:rsidRDefault="00821253">
      <w:pPr>
        <w:jc w:val="center"/>
      </w:pPr>
    </w:p>
    <w:p w:rsidR="00821253" w:rsidRDefault="00821253">
      <w:pPr>
        <w:jc w:val="center"/>
      </w:pPr>
    </w:p>
    <w:p w:rsidR="00821253" w:rsidRDefault="00821253">
      <w:pPr>
        <w:jc w:val="center"/>
      </w:pPr>
    </w:p>
    <w:p w:rsidR="00821253" w:rsidRDefault="00821253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Контрольная работа</w:t>
      </w:r>
    </w:p>
    <w:p w:rsidR="00821253" w:rsidRDefault="00821253">
      <w:pPr>
        <w:jc w:val="center"/>
        <w:rPr>
          <w:sz w:val="30"/>
          <w:szCs w:val="30"/>
        </w:rPr>
      </w:pPr>
    </w:p>
    <w:p w:rsidR="00821253" w:rsidRDefault="00821253">
      <w:pPr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по курсу</w:t>
      </w:r>
      <w:r>
        <w:rPr>
          <w:sz w:val="30"/>
          <w:szCs w:val="30"/>
        </w:rPr>
        <w:t xml:space="preserve"> «Логика»</w:t>
      </w:r>
    </w:p>
    <w:p w:rsidR="00821253" w:rsidRDefault="00821253">
      <w:pPr>
        <w:jc w:val="center"/>
      </w:pPr>
    </w:p>
    <w:p w:rsidR="00821253" w:rsidRDefault="00821253">
      <w:pPr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кафедра: </w:t>
      </w:r>
      <w:r>
        <w:rPr>
          <w:sz w:val="30"/>
          <w:szCs w:val="30"/>
        </w:rPr>
        <w:t>«Философия и социология»</w:t>
      </w:r>
    </w:p>
    <w:p w:rsidR="00821253" w:rsidRDefault="00821253">
      <w:pPr>
        <w:jc w:val="center"/>
        <w:rPr>
          <w:sz w:val="30"/>
          <w:szCs w:val="30"/>
        </w:rPr>
      </w:pPr>
    </w:p>
    <w:p w:rsidR="00821253" w:rsidRDefault="00821253">
      <w:pPr>
        <w:jc w:val="center"/>
      </w:pPr>
    </w:p>
    <w:p w:rsidR="00821253" w:rsidRDefault="00821253">
      <w:pPr>
        <w:jc w:val="right"/>
        <w:rPr>
          <w:b/>
          <w:bCs/>
          <w:sz w:val="30"/>
          <w:szCs w:val="30"/>
        </w:rPr>
      </w:pPr>
    </w:p>
    <w:p w:rsidR="00821253" w:rsidRDefault="00821253">
      <w:pPr>
        <w:jc w:val="right"/>
        <w:rPr>
          <w:b/>
          <w:bCs/>
          <w:sz w:val="30"/>
          <w:szCs w:val="30"/>
        </w:rPr>
      </w:pPr>
    </w:p>
    <w:p w:rsidR="00821253" w:rsidRDefault="00821253">
      <w:pPr>
        <w:jc w:val="right"/>
        <w:rPr>
          <w:b/>
          <w:bCs/>
          <w:sz w:val="30"/>
          <w:szCs w:val="30"/>
        </w:rPr>
      </w:pPr>
    </w:p>
    <w:p w:rsidR="00821253" w:rsidRDefault="00821253">
      <w:pPr>
        <w:jc w:val="right"/>
        <w:rPr>
          <w:b/>
          <w:bCs/>
          <w:sz w:val="30"/>
          <w:szCs w:val="30"/>
        </w:rPr>
      </w:pPr>
    </w:p>
    <w:p w:rsidR="00821253" w:rsidRDefault="00821253">
      <w:pPr>
        <w:pStyle w:val="1"/>
        <w:numPr>
          <w:ilvl w:val="0"/>
          <w:numId w:val="0"/>
        </w:numPr>
        <w:tabs>
          <w:tab w:val="left" w:pos="1440"/>
        </w:tabs>
        <w:ind w:left="1440"/>
        <w:rPr>
          <w:b/>
        </w:rPr>
      </w:pPr>
      <w:r>
        <w:t xml:space="preserve">Исполнитель: </w:t>
      </w:r>
      <w:r>
        <w:rPr>
          <w:b/>
        </w:rPr>
        <w:t>Алещенко Нина</w:t>
      </w:r>
    </w:p>
    <w:p w:rsidR="00821253" w:rsidRDefault="0082125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Сергеевна</w:t>
      </w:r>
    </w:p>
    <w:p w:rsidR="00821253" w:rsidRDefault="00821253">
      <w:pPr>
        <w:jc w:val="right"/>
      </w:pPr>
      <w:r>
        <w:t>Тел. 8-902-444-12-63</w:t>
      </w:r>
    </w:p>
    <w:p w:rsidR="00821253" w:rsidRDefault="00821253">
      <w:pPr>
        <w:jc w:val="right"/>
      </w:pPr>
    </w:p>
    <w:p w:rsidR="00821253" w:rsidRDefault="0082125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Третий курс на базе высшего образования.</w:t>
      </w:r>
    </w:p>
    <w:p w:rsidR="00821253" w:rsidRDefault="00821253">
      <w:pPr>
        <w:jc w:val="right"/>
      </w:pPr>
    </w:p>
    <w:p w:rsidR="00821253" w:rsidRDefault="0082125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№1.</w:t>
      </w:r>
    </w:p>
    <w:p w:rsidR="00821253" w:rsidRDefault="00821253">
      <w:pPr>
        <w:jc w:val="right"/>
        <w:rPr>
          <w:sz w:val="28"/>
          <w:szCs w:val="28"/>
        </w:rPr>
      </w:pPr>
    </w:p>
    <w:p w:rsidR="00821253" w:rsidRDefault="00821253">
      <w:pPr>
        <w:jc w:val="right"/>
        <w:rPr>
          <w:sz w:val="28"/>
          <w:szCs w:val="28"/>
        </w:rPr>
      </w:pPr>
    </w:p>
    <w:p w:rsidR="00821253" w:rsidRDefault="00821253">
      <w:pPr>
        <w:jc w:val="right"/>
        <w:rPr>
          <w:sz w:val="28"/>
          <w:szCs w:val="28"/>
        </w:rPr>
      </w:pPr>
    </w:p>
    <w:p w:rsidR="00821253" w:rsidRDefault="00821253">
      <w:pPr>
        <w:jc w:val="right"/>
        <w:rPr>
          <w:sz w:val="28"/>
          <w:szCs w:val="28"/>
        </w:rPr>
      </w:pPr>
    </w:p>
    <w:p w:rsidR="00821253" w:rsidRDefault="00821253">
      <w:pPr>
        <w:jc w:val="right"/>
        <w:rPr>
          <w:sz w:val="28"/>
          <w:szCs w:val="28"/>
        </w:rPr>
      </w:pPr>
    </w:p>
    <w:p w:rsidR="00821253" w:rsidRDefault="00821253">
      <w:pPr>
        <w:jc w:val="right"/>
        <w:rPr>
          <w:sz w:val="28"/>
          <w:szCs w:val="28"/>
        </w:rPr>
      </w:pPr>
    </w:p>
    <w:p w:rsidR="00821253" w:rsidRDefault="00821253">
      <w:pPr>
        <w:jc w:val="right"/>
        <w:rPr>
          <w:sz w:val="28"/>
          <w:szCs w:val="28"/>
        </w:rPr>
      </w:pPr>
    </w:p>
    <w:p w:rsidR="00821253" w:rsidRDefault="00821253">
      <w:pPr>
        <w:jc w:val="right"/>
        <w:rPr>
          <w:sz w:val="28"/>
          <w:szCs w:val="28"/>
        </w:rPr>
      </w:pPr>
    </w:p>
    <w:p w:rsidR="00821253" w:rsidRDefault="00821253">
      <w:pPr>
        <w:jc w:val="center"/>
        <w:rPr>
          <w:sz w:val="28"/>
          <w:szCs w:val="28"/>
        </w:rPr>
      </w:pPr>
    </w:p>
    <w:p w:rsidR="00821253" w:rsidRDefault="00821253">
      <w:pPr>
        <w:jc w:val="center"/>
        <w:rPr>
          <w:rFonts w:eastAsia="Arial Unicode MS"/>
        </w:rPr>
      </w:pPr>
    </w:p>
    <w:p w:rsidR="00821253" w:rsidRDefault="00821253"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Екатеринбург</w:t>
      </w:r>
    </w:p>
    <w:p w:rsidR="00821253" w:rsidRDefault="00821253">
      <w:pPr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</w:p>
    <w:p w:rsidR="00821253" w:rsidRDefault="00821253">
      <w:pPr>
        <w:tabs>
          <w:tab w:val="left" w:pos="1425"/>
        </w:tabs>
      </w:pPr>
    </w:p>
    <w:p w:rsidR="00821253" w:rsidRDefault="00821253">
      <w:pPr>
        <w:tabs>
          <w:tab w:val="left" w:pos="142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1. </w:t>
      </w:r>
    </w:p>
    <w:p w:rsidR="00821253" w:rsidRPr="00821253" w:rsidRDefault="00821253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Pr="00821253">
        <w:rPr>
          <w:sz w:val="28"/>
          <w:szCs w:val="28"/>
        </w:rPr>
        <w:t xml:space="preserve"> – 1; 3; 4; 6.</w:t>
      </w:r>
    </w:p>
    <w:p w:rsidR="00821253" w:rsidRPr="00821253" w:rsidRDefault="00821253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Pr="00821253">
        <w:rPr>
          <w:sz w:val="28"/>
          <w:szCs w:val="28"/>
        </w:rPr>
        <w:t xml:space="preserve"> – 2; 7.</w:t>
      </w:r>
    </w:p>
    <w:p w:rsidR="00821253" w:rsidRPr="00821253" w:rsidRDefault="00821253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Pr="00821253">
        <w:rPr>
          <w:sz w:val="28"/>
          <w:szCs w:val="28"/>
        </w:rPr>
        <w:t xml:space="preserve"> – 1; 2; 3; 4; 6; 7.</w:t>
      </w:r>
    </w:p>
    <w:p w:rsidR="00821253" w:rsidRPr="00821253" w:rsidRDefault="00821253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821253">
        <w:rPr>
          <w:sz w:val="28"/>
          <w:szCs w:val="28"/>
        </w:rPr>
        <w:t xml:space="preserve"> -</w:t>
      </w:r>
    </w:p>
    <w:p w:rsidR="00821253" w:rsidRPr="00821253" w:rsidRDefault="00821253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821253">
        <w:rPr>
          <w:sz w:val="28"/>
          <w:szCs w:val="28"/>
        </w:rPr>
        <w:t xml:space="preserve"> – 5; 8.</w:t>
      </w:r>
    </w:p>
    <w:p w:rsidR="00821253" w:rsidRDefault="00821253">
      <w:pPr>
        <w:tabs>
          <w:tab w:val="left" w:pos="1425"/>
        </w:tabs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Задание 2</w:t>
      </w:r>
      <w:r>
        <w:rPr>
          <w:sz w:val="28"/>
          <w:szCs w:val="28"/>
        </w:rPr>
        <w:t xml:space="preserve"> – 2.</w:t>
      </w:r>
    </w:p>
    <w:p w:rsidR="00821253" w:rsidRDefault="00821253">
      <w:pPr>
        <w:tabs>
          <w:tab w:val="left" w:pos="1425"/>
        </w:tabs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Задание 3</w:t>
      </w:r>
      <w:r>
        <w:rPr>
          <w:sz w:val="28"/>
          <w:szCs w:val="28"/>
        </w:rPr>
        <w:t xml:space="preserve"> – 2; 5.</w:t>
      </w:r>
    </w:p>
    <w:p w:rsidR="00821253" w:rsidRDefault="00821253">
      <w:pPr>
        <w:tabs>
          <w:tab w:val="left" w:pos="1425"/>
        </w:tabs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4.</w:t>
      </w:r>
    </w:p>
    <w:p w:rsidR="00821253" w:rsidRDefault="00821253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– 1; 3. 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Правило соразмерности нарушены именно в данных примерах. Правило соразмерности требует, чтобы объем определяемого понятия был равен объему определяющего. Иначе говоря, эти понятия должны находиться в отношении равнообъемности. 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первом примере определение, определяемое понятие «человек», значительно шире объема определяющего понятия «животное, способное к совершению купли и продажи». Такое нарушение правила соразмерности называется ошибкой слишком узкого определения. Такая же ошибка запрограммирована и в третьем примере.</w:t>
      </w:r>
    </w:p>
    <w:p w:rsidR="00821253" w:rsidRDefault="00821253">
      <w:pPr>
        <w:tabs>
          <w:tab w:val="left" w:pos="1425"/>
        </w:tabs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1; 2; 3.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Правило ясности должно указывать на известные признаки, не нуждающиеся в определении и не содержащие двусмысленности. Если же понятие определяется через другое понятие, признаки которого неизвестны и которое само нуждается в определении, то это ведет к ошибке называемой определением неизвестного через неизвестное. Так в примере втором сказано, что «Либеральный человек – человек, имеющий либеральные убеждения», т.е. в данном случае само словосочетание «либеральные убеждения» требуют расшифровки. В первом и третьем примере определения не указывают на известные признаки определяемого понятия.</w:t>
      </w:r>
    </w:p>
    <w:p w:rsidR="00821253" w:rsidRDefault="00821253">
      <w:pPr>
        <w:tabs>
          <w:tab w:val="left" w:pos="1425"/>
        </w:tabs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– 2.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данном случае нарушено правило недопустимости круга в определении. Если при определении мы прибегаем к другому понятию, которое, в свою очередь, определяется при помощи первого, то такое определение содержит в себе круг. Так в примере втором сказано: «Либеральный человек – человек, имеющий либеральные убеждения», данное определение является </w:t>
      </w:r>
      <w:r>
        <w:rPr>
          <w:b/>
          <w:i/>
          <w:sz w:val="28"/>
          <w:szCs w:val="28"/>
        </w:rPr>
        <w:t>тавтологией</w:t>
      </w:r>
      <w:r>
        <w:rPr>
          <w:sz w:val="28"/>
          <w:szCs w:val="28"/>
        </w:rPr>
        <w:t xml:space="preserve"> – ошибочное определение, в котором определяющее понятие повторяет определяемое. Определяющее понятие «человек, имеющий либеральные убеждения» является повторением определяемого «Либеральный человек».</w:t>
      </w:r>
    </w:p>
    <w:p w:rsidR="00821253" w:rsidRDefault="00821253">
      <w:pPr>
        <w:tabs>
          <w:tab w:val="left" w:pos="1425"/>
        </w:tabs>
      </w:pPr>
    </w:p>
    <w:p w:rsidR="00821253" w:rsidRDefault="00821253">
      <w:pPr>
        <w:tabs>
          <w:tab w:val="left" w:pos="142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5.</w:t>
      </w:r>
    </w:p>
    <w:p w:rsidR="00821253" w:rsidRDefault="00821253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 xml:space="preserve">А – 1; 3; 5. 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Соразмерное деление понятий. Задача деления заключается в том, чтобы перечислить все виды делимого понятия. Поэтому объем членов деления должен быть равен в своей сумме объему делимого понятия. Так в первом примере нарушено правило соразмерности, по причине наличия лишних членов в делении, а именно то, что сделки могут быть письменными. В третьем и пятом примерах также нарушено правило соразмерности, в данном случае деление неполное, так государства делятся не только на авторитарные и федеративные, но еще и  на унитарные и т.д.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>В – 1; 5.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процессе деления избранный нами признак должен оставаться одним и тем же и не подменяться другим признаком. В данных двух примерах это правило нарушено, так в предложении: «Сделки могут быть односторонними, двусторонними, многосторонними» признак, по которому происходит деление, это количество лиц участвующих в сделки, а: «Сделки могут быть письменными», здесь основной признак это форма сделки, письменные и устные.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>С – 1; 5.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Это правило деления вытекает из правила деления по одному основанию. Если выбрано не одно основание, то члены деления будут находиться в отношении частичного совпадения.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6.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– 1; 2; 4.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– 3.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7. 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– 2; 3; 4.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– 1; 5.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8.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– 4.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– 2.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– 1; 3; 5.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9.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– 1.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– 2; 4.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10.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– 1; 2; 4.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– 1; 2; 4.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– 5.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11.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– 1; 6.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– 2; 4. 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12.</w:t>
      </w:r>
    </w:p>
    <w:p w:rsidR="00821253" w:rsidRDefault="00821253">
      <w:pPr>
        <w:tabs>
          <w:tab w:val="left" w:pos="1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Умозаключение по аналогии.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науке и практическим делам объектом исследования нередко выступают единичные, неповторимые по своим индивидуальным характеристикам события, предметы и явления. При их применении и оценке затруднено применение как дедуктивных, так и индуктивных рассуждений. В данном случае прибегают к третьему способу рассуждения – умозаключение по аналогии: уподобляют новое единичное явление другому, известному и сходному с ним единичному явлению и распространяют на первое ранее полученную информацию.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Умозаключение по аналогии – это вывод о принадлежности определенного признака исследуемому единичному объекту (предмету, событию, отношению или классу) на основании его сходства в существенных чертах с другим уже известным единичным объектом.</w:t>
      </w:r>
    </w:p>
    <w:p w:rsidR="00821253" w:rsidRDefault="00821253">
      <w:pPr>
        <w:tabs>
          <w:tab w:val="left" w:pos="1425"/>
        </w:tabs>
        <w:jc w:val="center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аналогии.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характеру уподобляемых объектов различают два вида аналогии: </w:t>
      </w:r>
    </w:p>
    <w:p w:rsidR="00821253" w:rsidRDefault="00821253">
      <w:pPr>
        <w:numPr>
          <w:ilvl w:val="0"/>
          <w:numId w:val="2"/>
        </w:numPr>
        <w:tabs>
          <w:tab w:val="left" w:pos="720"/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Аналогия предметов;</w:t>
      </w:r>
    </w:p>
    <w:p w:rsidR="00821253" w:rsidRDefault="00821253">
      <w:pPr>
        <w:numPr>
          <w:ilvl w:val="0"/>
          <w:numId w:val="2"/>
        </w:numPr>
        <w:tabs>
          <w:tab w:val="left" w:pos="720"/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Аналогия отношений.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Аналогия предметов</w:t>
      </w:r>
      <w:r>
        <w:rPr>
          <w:sz w:val="28"/>
          <w:szCs w:val="28"/>
        </w:rPr>
        <w:t xml:space="preserve"> – умозаключение, в котором объектом уподобления выступают два сходных единичных предмета, а переносным признаком – свойства этих предметов. В данном случае если предмету 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соответствуют признаки </w:t>
      </w:r>
      <w:r>
        <w:rPr>
          <w:b/>
          <w:sz w:val="28"/>
          <w:szCs w:val="28"/>
        </w:rPr>
        <w:t>В С Г</w:t>
      </w:r>
      <w:r>
        <w:rPr>
          <w:sz w:val="28"/>
          <w:szCs w:val="28"/>
        </w:rPr>
        <w:t xml:space="preserve">, а предмету </w:t>
      </w:r>
      <w:r>
        <w:rPr>
          <w:b/>
          <w:sz w:val="28"/>
          <w:szCs w:val="28"/>
        </w:rPr>
        <w:t>Ф</w:t>
      </w:r>
      <w:r>
        <w:rPr>
          <w:sz w:val="28"/>
          <w:szCs w:val="28"/>
        </w:rPr>
        <w:t xml:space="preserve"> соответствуют признаки </w:t>
      </w:r>
      <w:r>
        <w:rPr>
          <w:b/>
          <w:sz w:val="28"/>
          <w:szCs w:val="28"/>
        </w:rPr>
        <w:t>В С Г Ц</w:t>
      </w:r>
      <w:r>
        <w:rPr>
          <w:sz w:val="28"/>
          <w:szCs w:val="28"/>
        </w:rPr>
        <w:t xml:space="preserve">, то следовательно предмету 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присущ признак </w:t>
      </w:r>
      <w:r>
        <w:rPr>
          <w:b/>
          <w:sz w:val="28"/>
          <w:szCs w:val="28"/>
        </w:rPr>
        <w:t>Ц</w:t>
      </w:r>
      <w:r>
        <w:rPr>
          <w:sz w:val="28"/>
          <w:szCs w:val="28"/>
        </w:rPr>
        <w:t>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Логической основой переноса признаков в аналогиях подобного рода выступает сходство уподобляемых предметов в ряде их свойств.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Аналогия отношений</w:t>
      </w:r>
      <w:r>
        <w:rPr>
          <w:sz w:val="28"/>
          <w:szCs w:val="28"/>
        </w:rPr>
        <w:t xml:space="preserve"> – умозаключение, в котором объектом уподобления выступают сходные отношения между двумя парами предметов, а переносимым признаком – свойства этих отношений. Если отношениям между </w:t>
      </w:r>
      <w:r>
        <w:rPr>
          <w:b/>
          <w:sz w:val="28"/>
          <w:szCs w:val="28"/>
        </w:rPr>
        <w:t>Р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присущи признаки </w:t>
      </w:r>
      <w:r>
        <w:rPr>
          <w:b/>
          <w:sz w:val="28"/>
          <w:szCs w:val="28"/>
        </w:rPr>
        <w:t>АВСК</w:t>
      </w:r>
      <w:r>
        <w:rPr>
          <w:sz w:val="28"/>
          <w:szCs w:val="28"/>
        </w:rPr>
        <w:t xml:space="preserve">, а отношениям между </w:t>
      </w:r>
      <w:r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Ф</w:t>
      </w:r>
      <w:r>
        <w:rPr>
          <w:sz w:val="28"/>
          <w:szCs w:val="28"/>
        </w:rPr>
        <w:t xml:space="preserve"> признаки </w:t>
      </w:r>
      <w:r>
        <w:rPr>
          <w:b/>
          <w:sz w:val="28"/>
          <w:szCs w:val="28"/>
        </w:rPr>
        <w:t>АВС</w:t>
      </w:r>
      <w:r>
        <w:rPr>
          <w:sz w:val="28"/>
          <w:szCs w:val="28"/>
        </w:rPr>
        <w:t xml:space="preserve">, то следовательно отношениям между </w:t>
      </w:r>
      <w:r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Ф</w:t>
      </w:r>
      <w:r>
        <w:rPr>
          <w:sz w:val="28"/>
          <w:szCs w:val="28"/>
        </w:rPr>
        <w:t xml:space="preserve"> присущ признак  </w:t>
      </w:r>
      <w:r>
        <w:rPr>
          <w:b/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состоятельности выводов по аналогии.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Заключения, полученные в выводах по аналогии, бывают неодинаковыми по своей обоснованности: в одних случаях они носят проблематичный характер, в других – могут претендовать на достоверность. 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Эпистемическая ценность заключений определяется характером исходного знания о сравниваемых объектах: зависимости между признаками сходства и переносимым признаком.</w:t>
      </w:r>
    </w:p>
    <w:p w:rsidR="00821253" w:rsidRDefault="00821253">
      <w:pPr>
        <w:numPr>
          <w:ilvl w:val="0"/>
          <w:numId w:val="3"/>
        </w:numPr>
        <w:tabs>
          <w:tab w:val="left" w:pos="720"/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Сходство уподобляемых объектов является основной предпосылкой применения самого умозаключения по аналогии. Вывод будет состоятельным только в том случае, если выявлено и зафиксировано действительное сходство, которое должно быть не приблизительным, в общих чертах и не случайным, а строго определенным и конкретным сходством в существенных признаках. Отсутствие такого сходства делает умозаключение по аналогии несостоятельным.</w:t>
      </w:r>
    </w:p>
    <w:p w:rsidR="00821253" w:rsidRDefault="00821253">
      <w:pPr>
        <w:numPr>
          <w:ilvl w:val="0"/>
          <w:numId w:val="3"/>
        </w:numPr>
        <w:tabs>
          <w:tab w:val="left" w:pos="720"/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Учет различий между уподобляемыми объектами – второе важное условие состоятельности выводов по аналогии. В любом случае уподобления имеют места и различия между сравниваемыми предметами. Различия эти по-разному влияют на процесс вывода по аналогии. В одних случаях различия бывают несущественными, т.е. совместимыми с переносимым признаком. Свойства, препятствующие переносу признака с одного предмета на другой, являются существенными различиями.</w:t>
      </w:r>
      <w:r>
        <w:rPr>
          <w:rStyle w:val="a4"/>
          <w:sz w:val="28"/>
          <w:szCs w:val="28"/>
        </w:rPr>
        <w:footnoteReference w:id="1"/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Соблюдение двух этих условий, предъявляемых к умозаключениям по аналогии, обеспечивает принципиальную применимость этой формы вывода в конкретных случаях, делает вывод по аналогии логически состоятельным. </w:t>
      </w:r>
    </w:p>
    <w:p w:rsidR="00821253" w:rsidRDefault="0082125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Знание о наличии связи между сходными и переносными </w:t>
      </w:r>
      <w:r>
        <w:rPr>
          <w:sz w:val="28"/>
          <w:szCs w:val="28"/>
        </w:rPr>
        <w:tab/>
        <w:t xml:space="preserve">признаками  </w:t>
      </w:r>
    </w:p>
    <w:p w:rsidR="00821253" w:rsidRDefault="0082125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не только условие состоятельности, но и показатель степени </w:t>
      </w:r>
      <w:r>
        <w:rPr>
          <w:sz w:val="28"/>
          <w:szCs w:val="28"/>
        </w:rPr>
        <w:tab/>
        <w:t xml:space="preserve">обоснованности выводов по аналогии. В зависимости от характера этой </w:t>
      </w:r>
      <w:r>
        <w:rPr>
          <w:sz w:val="28"/>
          <w:szCs w:val="28"/>
        </w:rPr>
        <w:tab/>
        <w:t>связи различают:</w:t>
      </w:r>
    </w:p>
    <w:p w:rsidR="00821253" w:rsidRDefault="0082125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строгую аналогию, дающую достоверное заключение</w:t>
      </w:r>
    </w:p>
    <w:p w:rsidR="00821253" w:rsidRDefault="0082125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нестрогую аналогию, заключение которой носит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проблематичный характер.</w:t>
      </w:r>
    </w:p>
    <w:p w:rsidR="00821253" w:rsidRDefault="00821253">
      <w:pPr>
        <w:tabs>
          <w:tab w:val="left" w:pos="1425"/>
        </w:tabs>
        <w:jc w:val="center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Роль аналогии в науке и правовом процессе.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современных условиях аналогия приобретает значение важного для приумножения научных знаний типа умозаключения. История развития науки и техники показывает, что аналогия послужила основой для многих научных и технических открытий. Особое место занимает аналогия в исследованиях Максвелла, который часто прибегал к уподоблениям, используя аналогию как ценный самостоятельный метод исследования в физике.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Существенная роль умозаключения по аналогии в политологии и политике при разработке стратегических задач и определении тактической линии в конкретных условиях общественно-политического развития. 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Аналогия в политики дает обоснованные заключения при условии тщательного анализа конкретной обстановки, внимательного изучения всех «за» и «против».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Аналогия в правовом процессе. К аналогии обращаются в особых случаях правовой оценки, а так же в процессе расследования преступлений и проведения криминалистических экспертиз. 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Аналогия в правовой оценке. С логической стороны юридическая оценка обстоятельств дела протекает, как правило, в форме силлогизма, но наряду с этим в отдельных правовых системах допускается правовая оценка по аналогии закона или по прецеденту.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российской правовой системе аналогия уголовного закона не предусмотрена. Она действует лишь в гражданском праве, что объясняется сложностью хозяйственного оборота и практической трудностью предусмотреть в системе права все могущие возникнуть в будущем новые виды гражданнско-правовых отношений.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теории и правовой практике оценка гражданско-правовых отношений по аналогии закона допускается лишь при соблюдении определенных условий. Во-первых, требуется отсутствие в системе права нормы, которая прямо предусматривала данный вид отношений. Во-вторых, применяемая по аналогии норма права должна предусматривать сходные по своим существенным признакам отношения при несущественности различий.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Правовая оценка протекает в форме умозаключения по аналогии и в случае допущения в судопроизводстве прецедента, когда суд в своих выводах об основания и пределах правовой ответственности по конкретному делу опирается на ранее вынесенное судом решение по сходному делу. </w:t>
      </w: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both"/>
        <w:rPr>
          <w:sz w:val="28"/>
          <w:szCs w:val="28"/>
        </w:rPr>
      </w:pPr>
    </w:p>
    <w:p w:rsidR="00821253" w:rsidRDefault="00821253">
      <w:pPr>
        <w:tabs>
          <w:tab w:val="left" w:pos="1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821253" w:rsidRDefault="00821253">
      <w:pPr>
        <w:numPr>
          <w:ilvl w:val="0"/>
          <w:numId w:val="4"/>
        </w:numPr>
        <w:tabs>
          <w:tab w:val="left" w:pos="720"/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Кириллов В.И. Старченко А.А. Логика. М.: Юристъ, 2001-С. 256.</w:t>
      </w:r>
    </w:p>
    <w:p w:rsidR="00821253" w:rsidRDefault="00821253">
      <w:pPr>
        <w:numPr>
          <w:ilvl w:val="0"/>
          <w:numId w:val="4"/>
        </w:numPr>
        <w:tabs>
          <w:tab w:val="left" w:pos="720"/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Неволин В.И. Логика. Екатеринбург: Издательский дом «Уральская государственная юридическая академия», 2007.- С.208.</w:t>
      </w:r>
    </w:p>
    <w:p w:rsidR="00821253" w:rsidRDefault="00821253">
      <w:pPr>
        <w:tabs>
          <w:tab w:val="left" w:pos="1425"/>
        </w:tabs>
        <w:jc w:val="both"/>
      </w:pPr>
      <w:r>
        <w:rPr>
          <w:sz w:val="28"/>
          <w:szCs w:val="28"/>
        </w:rPr>
        <w:tab/>
        <w:t xml:space="preserve"> </w:t>
      </w:r>
      <w:bookmarkStart w:id="0" w:name="_GoBack"/>
      <w:bookmarkEnd w:id="0"/>
    </w:p>
    <w:sectPr w:rsidR="00821253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253" w:rsidRDefault="00821253">
      <w:r>
        <w:separator/>
      </w:r>
    </w:p>
  </w:endnote>
  <w:endnote w:type="continuationSeparator" w:id="0">
    <w:p w:rsidR="00821253" w:rsidRDefault="0082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253" w:rsidRDefault="00821253">
      <w:r>
        <w:separator/>
      </w:r>
    </w:p>
  </w:footnote>
  <w:footnote w:type="continuationSeparator" w:id="0">
    <w:p w:rsidR="00821253" w:rsidRDefault="00821253">
      <w:r>
        <w:continuationSeparator/>
      </w:r>
    </w:p>
  </w:footnote>
  <w:footnote w:id="1">
    <w:p w:rsidR="00821253" w:rsidRDefault="00821253">
      <w:pPr>
        <w:pStyle w:val="ab"/>
      </w:pPr>
      <w:r>
        <w:rPr>
          <w:rStyle w:val="a4"/>
        </w:rPr>
        <w:footnoteRef/>
      </w:r>
      <w:r>
        <w:tab/>
        <w:t xml:space="preserve"> Кириллов В.И. Старченко А.А. Логика. М.: Юристъ, 2001-С. 187.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253"/>
    <w:rsid w:val="00540277"/>
    <w:rsid w:val="00821253"/>
    <w:rsid w:val="00882C46"/>
    <w:rsid w:val="00BB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11EE0-9EDE-4C64-9C04-B83FAD36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kern w:val="1"/>
      <w:sz w:val="28"/>
      <w:szCs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120"/>
      <w:outlineLvl w:val="2"/>
    </w:pPr>
    <w:rPr>
      <w:rFonts w:eastAsia="Lucida Sans Unicode" w:cs="Tahoma"/>
      <w:b/>
      <w:bCs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rPr>
      <w:b w:val="0"/>
    </w:rPr>
  </w:style>
  <w:style w:type="character" w:customStyle="1" w:styleId="10">
    <w:name w:val="Основной шрифт абзаца1"/>
  </w:style>
  <w:style w:type="character" w:customStyle="1" w:styleId="a4">
    <w:name w:val="Символ сноски"/>
    <w:basedOn w:val="10"/>
    <w:rPr>
      <w:vertAlign w:val="superscript"/>
    </w:rPr>
  </w:style>
  <w:style w:type="character" w:styleId="a5">
    <w:name w:val="footnote reference"/>
    <w:semiHidden/>
    <w:rPr>
      <w:vertAlign w:val="superscript"/>
    </w:rPr>
  </w:style>
  <w:style w:type="character" w:styleId="a6">
    <w:name w:val="endnote reference"/>
    <w:semiHidden/>
    <w:rPr>
      <w:vertAlign w:val="superscript"/>
    </w:rPr>
  </w:style>
  <w:style w:type="character" w:customStyle="1" w:styleId="a7">
    <w:name w:val="Символы концевой сноски"/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pPr>
      <w:widowControl w:val="0"/>
      <w:spacing w:after="120"/>
    </w:pPr>
    <w:rPr>
      <w:rFonts w:eastAsia="Lucida Sans Unicode"/>
      <w:kern w:val="1"/>
    </w:rPr>
  </w:style>
  <w:style w:type="paragraph" w:styleId="a9">
    <w:name w:val="List"/>
    <w:basedOn w:val="a0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footnote text"/>
    <w:basedOn w:val="a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1438</Words>
  <Characters>8202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Исполнитель: Алещенко Нина</vt:lpstr>
    </vt:vector>
  </TitlesOfParts>
  <Company/>
  <LinksUpToDate>false</LinksUpToDate>
  <CharactersWithSpaces>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vpn.beep.net.ru</dc:creator>
  <cp:keywords/>
  <cp:lastModifiedBy>Irina</cp:lastModifiedBy>
  <cp:revision>2</cp:revision>
  <cp:lastPrinted>1899-12-31T21:00:00Z</cp:lastPrinted>
  <dcterms:created xsi:type="dcterms:W3CDTF">2014-09-13T14:04:00Z</dcterms:created>
  <dcterms:modified xsi:type="dcterms:W3CDTF">2014-09-13T14:04:00Z</dcterms:modified>
</cp:coreProperties>
</file>