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E3" w:rsidRPr="00D36B43" w:rsidRDefault="007E56E3" w:rsidP="007E56E3">
      <w:pPr>
        <w:spacing w:before="120"/>
        <w:jc w:val="center"/>
        <w:rPr>
          <w:b/>
          <w:bCs/>
          <w:sz w:val="32"/>
          <w:szCs w:val="32"/>
        </w:rPr>
      </w:pPr>
      <w:r w:rsidRPr="00D36B43">
        <w:rPr>
          <w:b/>
          <w:bCs/>
          <w:sz w:val="32"/>
          <w:szCs w:val="32"/>
        </w:rPr>
        <w:t>Квоты на вылов морских живых ресурсов</w:t>
      </w:r>
    </w:p>
    <w:p w:rsidR="007E56E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Русецкий Александр Евгеньевич</w:t>
      </w:r>
    </w:p>
    <w:p w:rsidR="007E56E3" w:rsidRPr="00D36B43" w:rsidRDefault="007E56E3" w:rsidP="007E56E3">
      <w:pPr>
        <w:spacing w:before="120"/>
        <w:jc w:val="center"/>
        <w:rPr>
          <w:b/>
          <w:bCs/>
          <w:sz w:val="28"/>
          <w:szCs w:val="28"/>
        </w:rPr>
      </w:pPr>
      <w:bookmarkStart w:id="0" w:name="_Toc15737016"/>
      <w:r w:rsidRPr="00D36B43">
        <w:rPr>
          <w:b/>
          <w:bCs/>
          <w:sz w:val="28"/>
          <w:szCs w:val="28"/>
        </w:rPr>
        <w:t>Введение</w:t>
      </w:r>
      <w:bookmarkEnd w:id="0"/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Морские живые ресурсы составляют традиционный компонент обеспечения продовольственной безопасности России, основу жизни и источник занятости значительной части населения приморских субъектов Российской Федерации.</w:t>
      </w:r>
      <w:r>
        <w:rPr>
          <w:sz w:val="24"/>
          <w:szCs w:val="24"/>
        </w:rPr>
        <w:t xml:space="preserve">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При надлежащей государственной организации управления такими ресурсами обеспечивается их устойчивый темп возобновления и рациональное использование нынешними и грядущими поколениями граждан России.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 настоящее время ряд запасов живых ресурсов в морских районах под суверенитетом и юрисдикцией России подорваны по причине загрязнения среды обитания, перелова или в силу иных причин.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Требуются адекватные меры государственного регулирования в целях восстановления таких запасов.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В соответствии с международным правом, и в частности, Конвенцией ООН по морскому праву (1982 г.) и другими международными договорами, Россия имеет права и несет обязанности по сохранению морских живых ресурсов, управлению ими и рациональному использованию в морских районах под ее суверенитетом и юрисдикцией, а также за пределами этих районов.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Действующая в настоящее время схема наделения лимитами вылова морских живых ресурсов претендентов на ресурсопользование различных форм собственности осуществляется через многоступенчатую переработку исходных материалов.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 настоящее время в соответствии с проектом Федерального Закона «О Рыболовстве» (ст. 22) порядок распределения квот на вылов морских живых ресурсов определяется Положением, разрабатываемым бассейновыми рыбохозяйственными советами и утверждается руководителем федерального органа по рыболовству.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(Указанное Положение должно соответствовать данному Федеральному Закону).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Бассейновый рыбохозяйственный совет, в свою очередь, является высшим органом, определяющим содержание бассейнового плана государственного управления морскими живыми ресурсами, а также решающим вопросы реализации бассейновых планов, в том числе по распределению квот вылова морских живых ресурсов. </w:t>
      </w:r>
    </w:p>
    <w:p w:rsidR="007E56E3" w:rsidRPr="00D36B43" w:rsidRDefault="007E56E3" w:rsidP="007E56E3">
      <w:pPr>
        <w:spacing w:before="120"/>
        <w:jc w:val="center"/>
        <w:rPr>
          <w:b/>
          <w:bCs/>
          <w:sz w:val="28"/>
          <w:szCs w:val="28"/>
        </w:rPr>
      </w:pPr>
      <w:bookmarkStart w:id="1" w:name="_Toc15737017"/>
      <w:r w:rsidRPr="00D36B43">
        <w:rPr>
          <w:b/>
          <w:bCs/>
          <w:sz w:val="28"/>
          <w:szCs w:val="28"/>
        </w:rPr>
        <w:t>Право на использование морских живых ресурсов (МЖР).</w:t>
      </w:r>
      <w:bookmarkEnd w:id="1"/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Право на использование морских живых ресурсов предоставляется юридическим и физическим лицам (далее - пользователи), внесенным в реестр пользователей МЖР субъекта Российской Федерации, который составляет и ведет комитет рыбного хозяйства администрации данного субъекта.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Реестр пользователей МЖР ежегодно утверждается и координируется на заседании бассейнового рыбохозяйтсвенного совета (БРХС). </w:t>
      </w:r>
    </w:p>
    <w:p w:rsidR="007E56E3" w:rsidRPr="00D36B43" w:rsidRDefault="007E56E3" w:rsidP="007E56E3">
      <w:pPr>
        <w:spacing w:before="120"/>
        <w:jc w:val="center"/>
        <w:rPr>
          <w:b/>
          <w:bCs/>
          <w:sz w:val="28"/>
          <w:szCs w:val="28"/>
        </w:rPr>
      </w:pPr>
      <w:bookmarkStart w:id="2" w:name="_Toc15737018"/>
      <w:r w:rsidRPr="00D36B43">
        <w:rPr>
          <w:b/>
          <w:bCs/>
          <w:sz w:val="28"/>
          <w:szCs w:val="28"/>
        </w:rPr>
        <w:t>Классификация пользователей морских живых ресурсов.</w:t>
      </w:r>
      <w:bookmarkEnd w:id="2"/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Пользователи морских живых ресурсов, включенные в реестр, делятся на три группы: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Первая группа – пользователи морских живых ресурсов, осуществляющие промысел с использованием рыбопромысловых судов в пределах внутренних вод, территориального моря, континентального шельфа и исключительной экономической зоны России.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Вторая группа – пользователи морских живых ресурсов, осуществляющие прибрежное рыболовство на рыбопромысловых участках, в пределах внутренних морских вод и территориального моря подзоны региона пассивными орудиями лова и (или) с применением маломерных судов.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Третья группа – пользователи морских живых ресурсов, осуществляющие рыболовство в континентальных (пресноводных) водоемах субъекта Российской Федерации.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Квоты на вылов морских живых ресурсов для первой группы пользователей утверждаются приказом Государственного Комитета Российской Федерации по Рыболовству (Госкомрыболовство) по представлению администрации субъекта Российской Федерации на основании рекомендаций БРХС.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Квоты на вылов для второй группы пользователей по каждому объекту утверждаются приказом Госкомрыболовства отдельной строкой «Прибрежное рыболовство» по представлению администрации субъекта Российской Федерации на основании рекомендаций БРХС.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Распределение квот между предприятиями прибрежного рыболовства утверждаются администрацией субъекта Российской Федерации и направляются в Бассейновое Управление по Охране и Воспроизводству Рыбных Запасов и Регулированию Рыболовства (в Приморском крае – «Приморрыбвод»).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Квоты на вылов для третьей группы пользователей по каждому объекту утверждаются приказом управления «Приморрыбвод» по представлению администрации субъекта Российской Федерации на основании рекомендаций научно-промыслового совета по пресноводным водоемам при БРХС. </w:t>
      </w:r>
    </w:p>
    <w:p w:rsidR="007E56E3" w:rsidRPr="00D36B43" w:rsidRDefault="007E56E3" w:rsidP="007E56E3">
      <w:pPr>
        <w:spacing w:before="120"/>
        <w:jc w:val="center"/>
        <w:rPr>
          <w:b/>
          <w:bCs/>
          <w:sz w:val="28"/>
          <w:szCs w:val="28"/>
        </w:rPr>
      </w:pPr>
      <w:bookmarkStart w:id="3" w:name="_Toc15737019"/>
      <w:r w:rsidRPr="00D36B43">
        <w:rPr>
          <w:b/>
          <w:bCs/>
          <w:sz w:val="28"/>
          <w:szCs w:val="28"/>
        </w:rPr>
        <w:t>Порядок распределения ОДУ морских живых ресурсов</w:t>
      </w:r>
      <w:bookmarkEnd w:id="3"/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Выделение квот вылова морских живых ресурсов между физическими и юридическими лицами Российской Федерации (далее - пользователи) осуществляется Госкомрыболовством.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Выделение квот вылова в водах России иностранным физическим и юридическим лицам осуществляется Госкомрыболовством на условиях и в порядке, определяемыми межправительственными соглашениями, иными договоренностями, решениями Правительства Российской Федерации или по его поручению - Госкомрыболовством.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Общие допустимые уловы морских живых ресурсов во внутренних водоемах, в территориальных водах, на континентальном шельфе и в исключительной экономической зоне Российской Федерации утверждаются Госкомрыболовством и Минприроды России на каждый календарный год по районам промысла и видам морских живых ресурсов на основе научно обоснованных прогнозов состояния их запасов, которые разрабатываются научно - исследовательскими институтами и проходят экспертизу в Межведомственной ихтиологической комиссии в установленном порядке.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При определении ОДУ в открытой части Мирового океана, районах действия международных соглашений по рыболовству и в зонах юрисдикции иностранных государств в обязательном порядке учитываются условия соответствующих международных соглашений, решения международных комиссий и иные международные договоренности.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Распределение ОДУ между пользователями осуществляется с учетом первоочередного обеспечения обязательств Российской Федерации по межправительственным соглашениям, решениям Правительства Российской Федерации и иным договоренностям, научных исследований, работ по воспроизводству и охране морских живых ресурсов, финансирования аварийно - спасательной службы. Объемы вылова для перечисленных выше целей определяются Госкомрыболовством и исключаются из ОДУ, подлежащих распределению между региональными рыбохозяйственными комплексами.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Распределение между пользователями части ОДУ, предназначенной для обеспечения обязательств Российской Федерации по межправительственным соглашениям, решениям Правительства Российской Федерации, научных исследований, работ по охране и воспроизводству морских живых ресурсов, финансирования аварийно-спасательных работ, а также ОДУ в открытой части Мирового океана и зонах иностранных государств осуществляется в порядке, определяемом Комитетом.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Разработка предложений по распределению ОДУ на региональные квоты для региональных рыбохозяйственных комплексов осуществляется Дальневосточным, Северным, Беломорским, Балтийским, Азово-Черноморским и Каспийским научно - промысловыми советами, которые формируются Госкомрыболовством из представителей заинтересованных Министерств и ведомств, субъектов Российской Федерации, других организаций.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Деятельность региональных научно-промысловых советов осуществляется в соответствии с Положением о бассейновом научно-промысловом совете, утверждаемом Госкомрыболовством.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Разработка предложений по распределению между пользователями региональных квот осуществляется соответствующими республиканскими, краевыми, областными рыбохозяйственными советами.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Бассейновые рыбохозяйственные советы формируются из представителей органов исполнительной власти соответствующих субъектов Российской Федерации, бассейновых органов рыбоохраны, научных и рыбохозяйственных организаций, органов охраны окружающей среды и природных ресурсов.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Составы бассейновых </w:t>
      </w:r>
      <w:r w:rsidRPr="00C97863">
        <w:rPr>
          <w:rFonts w:eastAsia="Batang"/>
          <w:sz w:val="24"/>
          <w:szCs w:val="24"/>
        </w:rPr>
        <w:t xml:space="preserve">рыбохозяйственных </w:t>
      </w:r>
      <w:r w:rsidRPr="00C97863">
        <w:rPr>
          <w:sz w:val="24"/>
          <w:szCs w:val="24"/>
        </w:rPr>
        <w:t>советов и их председатели утверждаются органами исполнительной власти субъектов Российской Федерации по согласованию с Госкомрыболовством.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Деятельность бассейновых рыбохозяйственных советов осуществляется в соответствии с Положением о бассейновом рыбохозяйственном совете, утверждаемом органами исполнительной власти субъектов Российской Федерации по согласованию с Госкомрыболовством.</w:t>
      </w:r>
      <w:r>
        <w:rPr>
          <w:sz w:val="24"/>
          <w:szCs w:val="24"/>
        </w:rPr>
        <w:t xml:space="preserve"> </w:t>
      </w:r>
    </w:p>
    <w:p w:rsidR="007E56E3" w:rsidRPr="00D36B43" w:rsidRDefault="007E56E3" w:rsidP="007E56E3">
      <w:pPr>
        <w:spacing w:before="120"/>
        <w:jc w:val="center"/>
        <w:rPr>
          <w:b/>
          <w:bCs/>
          <w:sz w:val="28"/>
          <w:szCs w:val="28"/>
        </w:rPr>
      </w:pPr>
      <w:bookmarkStart w:id="4" w:name="_Toc15737020"/>
      <w:r w:rsidRPr="00D36B43">
        <w:rPr>
          <w:b/>
          <w:bCs/>
          <w:sz w:val="28"/>
          <w:szCs w:val="28"/>
        </w:rPr>
        <w:t>Порядок подачи и рассмотрения заявок на выделение морских живых ресурсов</w:t>
      </w:r>
      <w:bookmarkEnd w:id="4"/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Заявки на выделение квот вылова морских живых ресурсов представляются как отдельными юридическими и физическими лицами, так и ассоциациями, союзами и другими объединениями предприятий юридических и физических лиц, в Уставе которых эта представительская функция предусмотрена.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Бассейновые рыбохозяйственные советы разрабатывают обобщенные заявки на выделение региональных квот и представляют их в Рабочую группу соответствующего регионального научно-промыслового совета и Госкомрыболовство не позднее 1 октября предшествующего года.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Региональные научно-промысловые советы не позднее 1 ноября предшествующего года разрабатывают предложения по распределению ОДУ на региональные квоты между региональными рыбохозяйственными комплексами и представляют их на утверждение Госкомрыболовству.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Распределение ОДУ между региональными рыбохозяйственными комплексами осуществляется региональным научно-промысловым советом с учетом фактического освоения ими региональных квот вылова морских живых ресурсов в предыдущие годы, наличия рыбодобывающих и рыбоперерабатывающих мощностей, а также утвержденных Правительством Российской Федерации региональных программ развития рыбной отрасли.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Госкомрыболовство рассматривает представленные предложения, утверждает их и не позднее 15 ноября предшествующего года информирует об этом органы исполнительной власти субъектов Российской Федерации.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Бассейновые рыбохозяйственные советы разрабатывают предложения по распределению региональных квот вылова морских живых ресурсов между пользователями всех форм собственности, включая совместные предприятия с участием иностранных юридических и физических лиц, и представляют их органу исполнительной власти субъекта Российской Федерации с последующим направлением в Госкомрыболовство для утверждения.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К рассмотрению принимаются заявки на пользование морскими живыми ресурсами от юридических лиц и предпринимателей без образования юридического лица, зарегистрированных на территории субъекта Российской Федерации и имеющих лицензию на рыбопромысловую деятельность.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Юридические лица и предприниматели без образования юридического лица, не имеющие собственного (арендованного) рыбопромыслового флота, могут подавать заявки на выделение морских живых ресурсов только для ведения прибрежного промысла в границах рыбопромысловых участков или промысла во внутренних водоемах.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Предприятия, не внесенные в реестр рыбохозяйственных организаций в комитете по рыбной промышленности администрации субъекта Российской Федерации и подающие заявки впервые, представляют лицензию на рыбопромысловую деятельность (промышленное рыболовство, промышленное рыбоводство), копии учредительных документов; устава предприятия, документа, подтверждающего государственную регистрацию предприятия.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Владельцы судов представляют копии свидетельств о праве собственности на суда.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Что касается научно-исследовательских организаций, то они согласуют с администрацией субъекта Российской Федерации все планируемые экспедиционные исследования и контрольный лов сидячих и малоподвижных объектов промысла, а программы работ должны проходить экологическую экспертизу в Комитете Природы субъекта РФ с участием спецморинспекции субъекта Российской Федерации.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Заявки не принимаются от пользователей, допустивших грубые нарушения правил рыболовства и охраны природы за период, предшествующий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заявочной компании.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При прочих равных условиях преимущественное право на использование морских живых ресурсов предоставляется внесенным в реестр пользователям: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Первоочередного обеспечения потребностей нужд личного потребления и возрождения традиционных видов хозяйственной деятельности малочисленных народов Севера.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Традиционности промысла с учетом обеспечения социально - экономических интересов населения, для которого рыболовство является традиционной сферой деятельности.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Имеющим добывающий флот (или соответствующих береговых добывающих мощностей), включая суда, приобретенные с разрешения Комитета по бербоут-чартеру, находящихся в технически исправном состоянии.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Участвующим в финансировании научных исследований, охраны и воспроизводства рыбных запасов, аварийно - спасательного флота.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Принимающим задания по поставкам рыбной продукции в федеральные фонды и их выполнение в объемах, установленных Правительством Российской Федерации.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Освоившим квоты вылова, выделенных в предыдущем году, при соблюдении правил рыболовства, в том числе своевременного представления достоверной отчетности в установленном порядке.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Обеспечивающим бесплатное прохождение учебной и производственной практики курсантов и студентов, включая педагогический состав, высших и средних учебных заведений рыбной отрасли.</w:t>
      </w:r>
      <w:r>
        <w:rPr>
          <w:sz w:val="24"/>
          <w:szCs w:val="24"/>
        </w:rPr>
        <w:t xml:space="preserve">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Право использования морских живых ресурсов может быть не предоставлено предприятию в случае недостаточности выделяемых для региона квот на вылов морских живых ресурсов.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В этом случае предпочтение в выделении квот на морские живые ресурсы отдается традиционным пользователям (занимающимся промыслом морских живых ресурсов не менее трех лет), имеющим наибольшие коэффициенты государственной эффективности использования морских живых ресурсов.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Объем выделенной квоты определяется с учетом фактической производственной мощности собственного добывающего флота (или береговых добывающих мощностей), включая мощности судов, приобретенных с разрешения Госкомрыболовства по бербоут-чартеру.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 случае неполного освоения выделенных квот в течение последних трех лет объем выделяемой на очередной год квоты определяется с учетом фактического освоения ранее выделявшихся квот.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Для гарантированного обеспечения сырьем береговых перерабатывающих мощностей выделяются "сблокированные квоты", то есть совместные квоты для добывающих и перерабатывающих предприятий.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 освоенных районах территориальных вод, континентального шельфа и исключительной экономической зоны Российской Федерации квоты выделяются только для рыбопромысловых судов под российским флагом, находящихся в собственности российских судовладельцев, за исключением случаев, предусмотренных межправительственными соглашениями, решениями Правительства или иными договоренностями.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 случае возникновения разногласий между юридическими и физическими лицами по вопросам распределения квот вылова морских живых ресурсов Госкомрыболовство принимает окончательное решение, которое может быть обжаловано в установленном законодательством порядке.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 случае неудовлетворительного освоения ОДУ отдельных видов морских живых ресурсов Госкомрыболовством устанавливается "олимпийская" система промысла в счет ОДУ или региональной квоты с отменой индивидуальных квот пользователей.</w:t>
      </w:r>
      <w:r>
        <w:rPr>
          <w:sz w:val="24"/>
          <w:szCs w:val="24"/>
        </w:rPr>
        <w:t xml:space="preserve"> </w:t>
      </w:r>
    </w:p>
    <w:p w:rsidR="007E56E3" w:rsidRPr="00D36B43" w:rsidRDefault="007E56E3" w:rsidP="007E56E3">
      <w:pPr>
        <w:spacing w:before="120"/>
        <w:jc w:val="center"/>
        <w:rPr>
          <w:b/>
          <w:bCs/>
          <w:sz w:val="28"/>
          <w:szCs w:val="28"/>
        </w:rPr>
      </w:pPr>
      <w:bookmarkStart w:id="5" w:name="_Toc15737021"/>
      <w:r w:rsidRPr="00D36B43">
        <w:rPr>
          <w:b/>
          <w:bCs/>
          <w:sz w:val="28"/>
          <w:szCs w:val="28"/>
        </w:rPr>
        <w:t>Перераспределение промышленных квот</w:t>
      </w:r>
      <w:bookmarkEnd w:id="5"/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Перераспределение промышленных квот морских живых ресурсов между пользователями региона производится бассейновым рыбохозяйственным советом на основании предложений рабочей группы с немедленным уведомлением и последующим представлением протокола заседания БРХС или его рабочей группы в Госкомрыболовство, в Бассейновое Управление по Охране и Воспроизводству Рыбных Запасов и Регулированию Рыболовства, соответствующее управление рыбвода, контролирующего район промысла, в котором производится перераспределение, рабочую группу регионального научно-промыслового совета и в региональный информационный центр.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Основанием для перераспределения квот на морские живые ресурсы между пользователями являются: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отказ пользователя квот морских живых ресурсов от их освоения;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взаимная договоренность пользователей морских живых ресурсов на перераспределение квот между предприятиями;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изменение состава добывающего флота или других средств для промысла у пользователя морских живых ресурсов;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лишение пользователя квот на вылов морских живых ресурсов или лицензии на промышленное рыболовство в установленном порядке;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неспособность пользователя морских живых ресурсов освоить выделенные квоты;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допущенные нарушения правил рыболовства или непредоставление, а также искажение оперативной и статистической информации о промысловой и производственно-хозяйственной деятельности.</w:t>
      </w:r>
      <w:r>
        <w:rPr>
          <w:sz w:val="24"/>
          <w:szCs w:val="24"/>
        </w:rPr>
        <w:t xml:space="preserve"> </w:t>
      </w:r>
    </w:p>
    <w:p w:rsidR="007E56E3" w:rsidRPr="00D36B43" w:rsidRDefault="007E56E3" w:rsidP="007E56E3">
      <w:pPr>
        <w:spacing w:before="120"/>
        <w:jc w:val="center"/>
        <w:rPr>
          <w:b/>
          <w:bCs/>
          <w:sz w:val="28"/>
          <w:szCs w:val="28"/>
        </w:rPr>
      </w:pPr>
      <w:bookmarkStart w:id="6" w:name="_Toc15737022"/>
      <w:r w:rsidRPr="00D36B43">
        <w:rPr>
          <w:b/>
          <w:bCs/>
          <w:sz w:val="28"/>
          <w:szCs w:val="28"/>
        </w:rPr>
        <w:t>Выдача разрешений на промысел.</w:t>
      </w:r>
      <w:bookmarkEnd w:id="6"/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Выдача разрешений на промысел морских живых ресурсов пользователям первой группы производится соответствующим управлением Бассейнового Управления по Охране и Воспроизводству Рыбных Запасов и Регулированию Рыболовства на основании квот, утверждаемых приказом Госкомрыболовства по распределению промышленных квот вылова морских живых ресурсов между предприятиями в региональном промысловом бассейне на соответствующий год, а также в соответствии с произведенными перераспределениями.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Выдача разрешений на промысел морских живых ресурсов для пользователей второй группы производится Управлением по Охране и Воспроизводству Рыбных Запасов и Регулированию Рыболовства на основании объемов, указанных в строке «Прибрежное рыболовство» приказа Госкомрыболовства об утверждении промышленных квот вылова морских живых ресурсов по предприятиям в региональном промысловом бассейне на соответствующий год и письменного уведомления администрации субъекта Российской Федерации о выделенных пользователю квотах, а также в соответствии с произведенными перераспределениями.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Выдача разрешений на промысел морских живых ресурсов для пользователей третьей группы производится Бассейновым Управлением по Охране и Воспроизводству Рыбных Запасов и Регулированию Рыболовства на основании объемов, указанных в приказе Бассейнового Управления по Охране и Воспроизводству Рыбных Запасов и Регулированию Рыболовства об утверждении промышленных квот вылова морских живых ресурсов по предприятиям субъекта РФ.</w:t>
      </w:r>
    </w:p>
    <w:p w:rsidR="007E56E3" w:rsidRPr="00D36B43" w:rsidRDefault="007E56E3" w:rsidP="007E56E3">
      <w:pPr>
        <w:spacing w:before="120"/>
        <w:jc w:val="center"/>
        <w:rPr>
          <w:b/>
          <w:bCs/>
          <w:sz w:val="28"/>
          <w:szCs w:val="28"/>
        </w:rPr>
      </w:pPr>
      <w:bookmarkStart w:id="7" w:name="_Toc15737023"/>
      <w:r w:rsidRPr="00D36B43">
        <w:rPr>
          <w:b/>
          <w:bCs/>
          <w:sz w:val="28"/>
          <w:szCs w:val="28"/>
        </w:rPr>
        <w:t>Право на пользование квотами на вылов крабов и креветок</w:t>
      </w:r>
      <w:bookmarkEnd w:id="7"/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Право пользования квотами на вылов крабов предоставляется предприятиям, имеющим собственные и (или) приобретенные ранее по бербоут-чартеру (с правом последующего выкупа) специализированные суда, включенные в установленном порядке в список краболовных судов соответствующего бассейна.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Предприятие-краболов имеет право пользования тех видов крабов и в тех районах промысла, которые оговорены в ходатайстве администрации края на включение судов данного предприятия в список краболовных судов соответствующего бассейна.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Право пользования квотами на вылов креветок предоставляется предприятиям, имеющим собственные и (или) приобретенные ранее по бербоут-чартеру (с правом последующего выкупа) специализированные суда ловушечного и тралового лова, включенные по предложению Ассоциации креветколовов субъекта Российской Федерации в список креветколовных судов субъекта РФ, утверждаемый БРХС.</w:t>
      </w:r>
      <w:r>
        <w:rPr>
          <w:sz w:val="24"/>
          <w:szCs w:val="24"/>
        </w:rPr>
        <w:t xml:space="preserve">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Прекращение прав на пользование морскими живыми ресурсами и их восстановление.</w:t>
      </w:r>
      <w:r>
        <w:rPr>
          <w:sz w:val="24"/>
          <w:szCs w:val="24"/>
        </w:rPr>
        <w:t xml:space="preserve">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Прекращение или приостановление прав на пользование морскими живыми ресурсами осуществляется Госкомрыболовством или Бассейновым Управлением по Охране и Воспроизводству Рыбных Запасов и Регулированию Рыболовства по следующим основаниям: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добровольный отказ пользователя от промысла морскими живыми ресурсами;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истечение срока действия лицензии на промышленное рыболовство в части добычи рыбы, других водных животных и растений;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истечение срок действия разрешения на добычу морских живых ресурсов;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допущение грубого нарушения Правил рыболовства и охраны морских живых ресурсов в течение календарного года или превышение выделенных квот добычи морских живых ресурсов;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отсутствие на судах пользователя технических средств связи, обеспечивающих автоматическую передачу информации о местонахождении судна при промысле морских живых ресурсов;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неуплата налогов, сборов и других платежей в федеральный бюджет и во внебюджетные фонды;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непредоставление или искажение установленной отчетности;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самовольная передача (продажа) квот добычи морских живых ресурсов;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списание или продажа промыслового флота;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неиспользование рыбопромысловых участков в течение двух лет с момента закрепления их за пользователем. </w:t>
      </w:r>
    </w:p>
    <w:p w:rsidR="007E56E3" w:rsidRPr="00C97863" w:rsidRDefault="007E56E3" w:rsidP="007E56E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Восстановление прав на пользование морскими живыми ресурсами производится Госкомрыболовством или Бассейновым Управлением по Охране и Воспроизводству Рыбных Запасов и Регулированию Рыболовства после устранения пользователем причин, приведших к прекращению прав на пользование морскими живыми ресурсами. </w:t>
      </w:r>
    </w:p>
    <w:p w:rsidR="00961FDC" w:rsidRDefault="00961FDC">
      <w:bookmarkStart w:id="8" w:name="_GoBack"/>
      <w:bookmarkEnd w:id="8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6E3"/>
    <w:rsid w:val="000F74C4"/>
    <w:rsid w:val="0062593D"/>
    <w:rsid w:val="007E56E3"/>
    <w:rsid w:val="00961FDC"/>
    <w:rsid w:val="00AF1C92"/>
    <w:rsid w:val="00B244BC"/>
    <w:rsid w:val="00C97863"/>
    <w:rsid w:val="00D36B43"/>
    <w:rsid w:val="00F157E3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59636-D89C-46F2-B32A-4E83ABA1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E3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12833</Words>
  <Characters>7315</Characters>
  <Application>Microsoft Office Word</Application>
  <DocSecurity>0</DocSecurity>
  <Lines>60</Lines>
  <Paragraphs>40</Paragraphs>
  <ScaleCrop>false</ScaleCrop>
  <Company>Home</Company>
  <LinksUpToDate>false</LinksUpToDate>
  <CharactersWithSpaces>20108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Квоты на вылов морских живых ресурсов</dc:title>
  <dc:subject/>
  <dc:creator>User</dc:creator>
  <cp:keywords/>
  <dc:description/>
  <cp:lastModifiedBy>admin</cp:lastModifiedBy>
  <cp:revision>2</cp:revision>
  <dcterms:created xsi:type="dcterms:W3CDTF">2014-01-25T22:05:00Z</dcterms:created>
  <dcterms:modified xsi:type="dcterms:W3CDTF">2014-01-25T22:05:00Z</dcterms:modified>
</cp:coreProperties>
</file>