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1C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План</w:t>
      </w:r>
    </w:p>
    <w:p w:rsidR="006D59E7" w:rsidRPr="006D59E7" w:rsidRDefault="006D59E7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2B" w:rsidRPr="006D59E7" w:rsidRDefault="00130B2B" w:rsidP="00020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Введение</w:t>
      </w:r>
    </w:p>
    <w:p w:rsidR="00130B2B" w:rsidRPr="0044599A" w:rsidRDefault="00721C46" w:rsidP="0044599A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99A">
        <w:rPr>
          <w:rFonts w:ascii="Times New Roman" w:hAnsi="Times New Roman"/>
          <w:sz w:val="28"/>
          <w:szCs w:val="28"/>
        </w:rPr>
        <w:t>Развитие Кыргызской Фондовой Биржи</w:t>
      </w:r>
    </w:p>
    <w:p w:rsidR="00721C46" w:rsidRPr="0044599A" w:rsidRDefault="00DD5748" w:rsidP="0044599A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99A">
        <w:rPr>
          <w:rFonts w:ascii="Times New Roman" w:hAnsi="Times New Roman"/>
          <w:sz w:val="28"/>
          <w:szCs w:val="28"/>
        </w:rPr>
        <w:t>Профессиональные участники рынка ценных бумаг</w:t>
      </w:r>
    </w:p>
    <w:p w:rsidR="0053611C" w:rsidRPr="0044599A" w:rsidRDefault="00E34E49" w:rsidP="0044599A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99A">
        <w:rPr>
          <w:rFonts w:ascii="Times New Roman" w:hAnsi="Times New Roman"/>
          <w:sz w:val="28"/>
          <w:szCs w:val="28"/>
        </w:rPr>
        <w:t>Годовой отчет Кыргызской Фондовой Биржи</w:t>
      </w:r>
    </w:p>
    <w:p w:rsidR="00E34E49" w:rsidRPr="006D59E7" w:rsidRDefault="00E34E49" w:rsidP="00020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Заключение</w:t>
      </w:r>
    </w:p>
    <w:p w:rsidR="00E34E49" w:rsidRPr="006D59E7" w:rsidRDefault="00E34E49" w:rsidP="00020A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Список литературы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9E7" w:rsidRPr="006D59E7" w:rsidRDefault="006D59E7" w:rsidP="00020A06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br w:type="page"/>
      </w:r>
    </w:p>
    <w:p w:rsidR="00130B2B" w:rsidRPr="006D59E7" w:rsidRDefault="00130B2B" w:rsidP="00020A06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Введение</w:t>
      </w:r>
    </w:p>
    <w:p w:rsidR="006D59E7" w:rsidRPr="006D59E7" w:rsidRDefault="006D59E7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2DE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На современном этапе развития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экономики рынок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ценных бумаг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 республике представляет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собой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наиболее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важную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часть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финансового рынка.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Юридические и физические лица,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профессиональные участники РЦБ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рассматривают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рынок ценных бумаг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как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привлекательные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 отношении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доходности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надежные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вложения, гарантированные государством, что несколько проти</w:t>
      </w:r>
      <w:r w:rsidR="00CD319F" w:rsidRPr="006D59E7">
        <w:rPr>
          <w:rFonts w:ascii="Times New Roman" w:hAnsi="Times New Roman"/>
          <w:sz w:val="28"/>
          <w:szCs w:val="28"/>
        </w:rPr>
        <w:t>воречит международной практике</w:t>
      </w:r>
      <w:r w:rsidRPr="006D59E7">
        <w:rPr>
          <w:rFonts w:ascii="Times New Roman" w:hAnsi="Times New Roman"/>
          <w:sz w:val="28"/>
          <w:szCs w:val="28"/>
        </w:rPr>
        <w:t xml:space="preserve"> так как низкий риск никогда не сопровождается высокой доходностью.</w:t>
      </w:r>
    </w:p>
    <w:p w:rsidR="00C42DE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Высокая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доходность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бумаг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ведет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к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повышению уровня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цен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на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заемные ресурсы, включая банковский кредит, который является важнейшим источником инвестиций. Все это еще более углубляет инвестиционный и общеэкономический кризис, ибо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реальный сектор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получает столь необходимых ему капиталовложений. Рынок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ценных бумаг в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Кыргызстане как основной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механизм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перераспределения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денежных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ресурсов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еще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не сложился, что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является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одним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из сдерживающих фа</w:t>
      </w:r>
      <w:r w:rsidR="00792CAC" w:rsidRPr="006D59E7">
        <w:rPr>
          <w:rFonts w:ascii="Times New Roman" w:hAnsi="Times New Roman"/>
          <w:sz w:val="28"/>
          <w:szCs w:val="28"/>
        </w:rPr>
        <w:t>кто</w:t>
      </w:r>
      <w:r w:rsidRPr="006D59E7">
        <w:rPr>
          <w:rFonts w:ascii="Times New Roman" w:hAnsi="Times New Roman"/>
          <w:sz w:val="28"/>
          <w:szCs w:val="28"/>
        </w:rPr>
        <w:t>ров развития экономики. На сегодняшний день выявились следующие недостатки:</w:t>
      </w:r>
    </w:p>
    <w:p w:rsidR="00CD319F" w:rsidRPr="006D59E7" w:rsidRDefault="00C42DE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-</w:t>
      </w:r>
      <w:r w:rsidR="00130B2B" w:rsidRPr="006D59E7">
        <w:rPr>
          <w:rFonts w:ascii="Times New Roman" w:hAnsi="Times New Roman"/>
          <w:sz w:val="28"/>
          <w:szCs w:val="28"/>
        </w:rPr>
        <w:t xml:space="preserve"> преобладание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ориентации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участников рынка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на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получение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спекулятивного дохода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и отсутствие интереса к долгосрочным вложениям;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-</w:t>
      </w:r>
      <w:r w:rsidR="00130B2B" w:rsidRPr="006D59E7">
        <w:rPr>
          <w:rFonts w:ascii="Times New Roman" w:hAnsi="Times New Roman"/>
          <w:sz w:val="28"/>
          <w:szCs w:val="28"/>
        </w:rPr>
        <w:t xml:space="preserve"> необработанность системы взаимодействия органов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государственного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регули</w:t>
      </w:r>
      <w:r w:rsidR="00CD319F" w:rsidRPr="006D59E7">
        <w:rPr>
          <w:rFonts w:ascii="Times New Roman" w:hAnsi="Times New Roman"/>
          <w:sz w:val="28"/>
          <w:szCs w:val="28"/>
        </w:rPr>
        <w:t>рова</w:t>
      </w:r>
      <w:r w:rsidR="00792CAC" w:rsidRPr="006D59E7">
        <w:rPr>
          <w:rFonts w:ascii="Times New Roman" w:hAnsi="Times New Roman"/>
          <w:sz w:val="28"/>
          <w:szCs w:val="28"/>
        </w:rPr>
        <w:t>ния</w:t>
      </w:r>
      <w:r w:rsidR="00130B2B" w:rsidRPr="006D59E7">
        <w:rPr>
          <w:rFonts w:ascii="Times New Roman" w:hAnsi="Times New Roman"/>
          <w:sz w:val="28"/>
          <w:szCs w:val="28"/>
        </w:rPr>
        <w:t>ния фондового рынка, отсутствие системы эффективного регулирования рынка;</w:t>
      </w:r>
    </w:p>
    <w:p w:rsidR="00130B2B" w:rsidRPr="006D59E7" w:rsidRDefault="00C42DE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 xml:space="preserve">- </w:t>
      </w:r>
      <w:r w:rsidR="00130B2B" w:rsidRPr="006D59E7">
        <w:rPr>
          <w:rFonts w:ascii="Times New Roman" w:hAnsi="Times New Roman"/>
          <w:sz w:val="28"/>
          <w:szCs w:val="28"/>
        </w:rPr>
        <w:t>наличие больших пробелов и противоречий в нормативно-правовой базе рынка ценных бумаг;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-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130B2B" w:rsidRPr="006D59E7">
        <w:rPr>
          <w:rFonts w:ascii="Times New Roman" w:hAnsi="Times New Roman"/>
          <w:sz w:val="28"/>
          <w:szCs w:val="28"/>
        </w:rPr>
        <w:t>слабый контроль за выполнением уже имеющихся законодательных актов и постановлений по вопросам регулирования рынка ценных бумаг;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- </w:t>
      </w:r>
      <w:r w:rsidR="00130B2B" w:rsidRPr="006D59E7">
        <w:rPr>
          <w:rFonts w:ascii="Times New Roman" w:hAnsi="Times New Roman"/>
          <w:sz w:val="28"/>
          <w:szCs w:val="28"/>
        </w:rPr>
        <w:t>слабая вовлеченность в работу на рынке ценных бумаг отечественных индивидуальных инвесторов.</w:t>
      </w:r>
    </w:p>
    <w:p w:rsidR="008A4082" w:rsidRPr="006D59E7" w:rsidRDefault="008A4082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99A" w:rsidRDefault="0044599A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0B2B" w:rsidRPr="0044599A" w:rsidRDefault="00130B2B" w:rsidP="0044599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99A">
        <w:rPr>
          <w:rFonts w:ascii="Times New Roman" w:hAnsi="Times New Roman"/>
          <w:sz w:val="28"/>
          <w:szCs w:val="28"/>
        </w:rPr>
        <w:t>Кыргызская</w:t>
      </w:r>
      <w:r w:rsidR="006D59E7" w:rsidRPr="0044599A">
        <w:rPr>
          <w:rFonts w:ascii="Times New Roman" w:hAnsi="Times New Roman"/>
          <w:sz w:val="28"/>
          <w:szCs w:val="28"/>
        </w:rPr>
        <w:t xml:space="preserve"> </w:t>
      </w:r>
      <w:r w:rsidRPr="0044599A">
        <w:rPr>
          <w:rFonts w:ascii="Times New Roman" w:hAnsi="Times New Roman"/>
          <w:sz w:val="28"/>
          <w:szCs w:val="28"/>
        </w:rPr>
        <w:t>Фондовая Биржа</w:t>
      </w:r>
    </w:p>
    <w:p w:rsidR="0044599A" w:rsidRDefault="0044599A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Кыргызская Фондовая Биржа была основана в 1994 году, в форме негосударственной, некоммерческой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организации,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имеющей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цель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обеспечить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эффективные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условия функционирования рынка ценных бумаг. КФБ была создана совместными усилиями учредителей, представляющих частный сектор экономики страны (брокерские компании, коммерческие банки, акционерные общества). Огромное содействие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 создании биржи было оказано со стороны Государственного Агентства по Надзору за операциями с ценными бумагами при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Правительстве КР, компании “Price Waterhouse”(USAID). В основу определений основных функциональных направлений деятельности </w:t>
      </w:r>
      <w:r w:rsidR="00986208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 xml:space="preserve"> легло использование мирового опыта организации и функционирования фондовых бирж.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 xml:space="preserve">Первые торги акциями и официальное открытие состоялись в мае 1995 года, когда у нас в республике активно шел процесс приватизации. С июля 1995 года на </w:t>
      </w:r>
      <w:r w:rsidR="00986208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 xml:space="preserve"> рассчитывается Индекс КФБ, характеризующий текущую ситуацию на рынке ценных бумаг. Методика расчета Индекса КФБ соответствует международным стандартам и является аналогом S&amp;P. Базовое значение, принятое для расчета показателя – 100.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Индекс рассчитывался на основании рыночных цен на акции листинговых компаний.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В сентябре 1995 года</w:t>
      </w:r>
      <w:r w:rsidRPr="006D59E7">
        <w:rPr>
          <w:rFonts w:ascii="Times New Roman" w:hAnsi="Times New Roman"/>
          <w:sz w:val="28"/>
          <w:szCs w:val="28"/>
        </w:rPr>
        <w:t xml:space="preserve"> начал работу Учебный Центр </w:t>
      </w:r>
      <w:r w:rsidR="00986208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>. Данный Центр проводит различные виды учебных курсов по подготовке специалистов для финансового рынка.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986208" w:rsidRPr="006D59E7">
        <w:rPr>
          <w:rFonts w:ascii="Times New Roman" w:hAnsi="Times New Roman"/>
          <w:sz w:val="28"/>
          <w:szCs w:val="28"/>
        </w:rPr>
        <w:t>В</w:t>
      </w:r>
      <w:r w:rsidRPr="006D59E7">
        <w:rPr>
          <w:rFonts w:ascii="Times New Roman" w:hAnsi="Times New Roman"/>
          <w:bCs/>
          <w:sz w:val="28"/>
          <w:szCs w:val="28"/>
        </w:rPr>
        <w:t xml:space="preserve"> 1996 г</w:t>
      </w:r>
      <w:r w:rsidR="00986208" w:rsidRPr="006D59E7">
        <w:rPr>
          <w:rFonts w:ascii="Times New Roman" w:hAnsi="Times New Roman"/>
          <w:bCs/>
          <w:sz w:val="28"/>
          <w:szCs w:val="28"/>
        </w:rPr>
        <w:t>.</w:t>
      </w:r>
      <w:r w:rsidRPr="006D59E7">
        <w:rPr>
          <w:rFonts w:ascii="Times New Roman" w:hAnsi="Times New Roman"/>
          <w:sz w:val="28"/>
          <w:szCs w:val="28"/>
        </w:rPr>
        <w:t xml:space="preserve"> КФБ открыла представительство в г.</w:t>
      </w:r>
      <w:r w:rsidR="00020A06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Ош. Первый региональный офис работал в качестве центра, где жители региона, руководители компаний, потенциальные инвесторы и все заинтересованные лица, могли получить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свежую информацию о состоянии фондового рынка в </w:t>
      </w:r>
      <w:r w:rsidR="00986208" w:rsidRPr="006D59E7">
        <w:rPr>
          <w:rFonts w:ascii="Times New Roman" w:hAnsi="Times New Roman"/>
          <w:sz w:val="28"/>
          <w:szCs w:val="28"/>
        </w:rPr>
        <w:t>КР</w:t>
      </w:r>
      <w:r w:rsidRPr="006D59E7">
        <w:rPr>
          <w:rFonts w:ascii="Times New Roman" w:hAnsi="Times New Roman"/>
          <w:sz w:val="28"/>
          <w:szCs w:val="28"/>
        </w:rPr>
        <w:t>, о работе КФБ, а также участвовать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 торговле ценными бумагами предприятий, прошедшими процедуру листинга.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bCs/>
          <w:sz w:val="28"/>
          <w:szCs w:val="28"/>
        </w:rPr>
        <w:t>С апреля 1997 года</w:t>
      </w:r>
      <w:r w:rsidRPr="006D59E7">
        <w:rPr>
          <w:rFonts w:ascii="Times New Roman" w:hAnsi="Times New Roman"/>
          <w:sz w:val="28"/>
          <w:szCs w:val="28"/>
        </w:rPr>
        <w:t xml:space="preserve"> на КФБ реализовывалась программа «180 дней», целью которой было привлечение наибольшего количества компаний на биржу.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Количество листинговых компаний на конец 1997 года достигло 37. В этому же году была открыта электронная страница </w:t>
      </w:r>
      <w:r w:rsidR="00986208" w:rsidRPr="006D59E7">
        <w:rPr>
          <w:rFonts w:ascii="Times New Roman" w:hAnsi="Times New Roman"/>
          <w:sz w:val="28"/>
          <w:szCs w:val="28"/>
        </w:rPr>
        <w:t>КФБ.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В марте 1998 года</w:t>
      </w:r>
      <w:r w:rsidRPr="006D59E7">
        <w:rPr>
          <w:rFonts w:ascii="Times New Roman" w:hAnsi="Times New Roman"/>
          <w:sz w:val="28"/>
          <w:szCs w:val="28"/>
        </w:rPr>
        <w:t xml:space="preserve"> КФБ получила статус саморегулируемой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организации, возникновение и развитие которых было обусловлено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необходимостью повышения системы регулирования рынка ценных бумаг, контроля за деятельностью профессиональных участников рынка.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bCs/>
          <w:sz w:val="28"/>
          <w:szCs w:val="28"/>
        </w:rPr>
        <w:t>В 1998 году</w:t>
      </w:r>
      <w:r w:rsidRPr="006D59E7">
        <w:rPr>
          <w:rFonts w:ascii="Times New Roman" w:hAnsi="Times New Roman"/>
          <w:sz w:val="28"/>
          <w:szCs w:val="28"/>
        </w:rPr>
        <w:t xml:space="preserve"> увеличилось число компаний, ценные бумаги которых прошли листинг на бирже. </w:t>
      </w:r>
      <w:r w:rsidRPr="006D59E7">
        <w:rPr>
          <w:rFonts w:ascii="Times New Roman" w:hAnsi="Times New Roman"/>
          <w:bCs/>
          <w:sz w:val="28"/>
          <w:szCs w:val="28"/>
        </w:rPr>
        <w:t>В мае 2000 года</w:t>
      </w:r>
      <w:r w:rsidRPr="006D59E7">
        <w:rPr>
          <w:rFonts w:ascii="Times New Roman" w:hAnsi="Times New Roman"/>
          <w:sz w:val="28"/>
          <w:szCs w:val="28"/>
        </w:rPr>
        <w:t xml:space="preserve"> КФБ преобразована из членской организации в Закрытое Акционерное Общество «Кыргы</w:t>
      </w:r>
      <w:r w:rsidR="00721C46" w:rsidRPr="006D59E7">
        <w:rPr>
          <w:rFonts w:ascii="Times New Roman" w:hAnsi="Times New Roman"/>
          <w:sz w:val="28"/>
          <w:szCs w:val="28"/>
        </w:rPr>
        <w:t>зская Фондовая Биржа». Компании,</w:t>
      </w:r>
      <w:r w:rsidRPr="006D59E7">
        <w:rPr>
          <w:rFonts w:ascii="Times New Roman" w:hAnsi="Times New Roman"/>
          <w:sz w:val="28"/>
          <w:szCs w:val="28"/>
        </w:rPr>
        <w:t xml:space="preserve"> являвшиеся членами биржи на тот момент</w:t>
      </w:r>
      <w:r w:rsidR="00721C46" w:rsidRPr="006D59E7">
        <w:rPr>
          <w:rFonts w:ascii="Times New Roman" w:hAnsi="Times New Roman"/>
          <w:sz w:val="28"/>
          <w:szCs w:val="28"/>
        </w:rPr>
        <w:t>,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получили равные доли в уставном капитале и членское право участвовать в торгах на КФБ. В 2000 году внесены изменения и дополнения в Положение о листинге на КФБ, согласно которому к листингу на </w:t>
      </w:r>
      <w:r w:rsidR="00721C46" w:rsidRPr="006D59E7">
        <w:rPr>
          <w:rFonts w:ascii="Times New Roman" w:hAnsi="Times New Roman"/>
          <w:sz w:val="28"/>
          <w:szCs w:val="28"/>
        </w:rPr>
        <w:t>КФБ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допускаются не только акции, но и все виды эмиссионных ценных бумаг, выпущенные в соответствии с требованиями действующего законодательства</w:t>
      </w:r>
      <w:r w:rsidR="00986208" w:rsidRPr="006D59E7">
        <w:rPr>
          <w:rFonts w:ascii="Times New Roman" w:hAnsi="Times New Roman"/>
          <w:sz w:val="28"/>
          <w:szCs w:val="28"/>
        </w:rPr>
        <w:t>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Главным событием 2000 года</w:t>
      </w:r>
      <w:r w:rsidRPr="006D59E7">
        <w:rPr>
          <w:rFonts w:ascii="Times New Roman" w:hAnsi="Times New Roman"/>
          <w:sz w:val="28"/>
          <w:szCs w:val="28"/>
        </w:rPr>
        <w:t xml:space="preserve"> для КФБ было акционирование Биржи и вступление Стамбульской Фондовой Биржи (ISE) в число ее акционеров. Весной 2000 года поиск стратегического инвестора увенчался успехом, развивающиеся отношения между Турецкой Республикой и Кыргызстаном побудили Стамбульскую Фондовую Биржу (ISE) стать акционером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КФБ. Вхождение ISE в состав акционеров ознаменовалось еще одной примечательной датой - КФБ вступила в Евроазиатскую федерацию фондовых бирж (FEAS) – организацию, объединяющую более 25 фондовых бирж стран Восточной Европы, Ближнего Востока, Центральной и Юго-Восточной Азии.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bCs/>
          <w:sz w:val="28"/>
          <w:szCs w:val="28"/>
        </w:rPr>
        <w:t>Следующий 2001 год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для </w:t>
      </w:r>
      <w:r w:rsidR="00986208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 xml:space="preserve"> ознаменовался новым интеграционным процессом: свое решение о вхождении в число акционеров КФБ приняла Казахстанская Фондовая Биржа (KASE).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Первым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корпоративным инструментом с фиксированной доходностью стали облигации Алматинского торгово-финансового банка. В 2001 году на рынке появились облигации отечественных эмитентов. Это были облигации «Renton Group», «Бишкексут».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2007 год</w:t>
      </w:r>
      <w:r w:rsidRPr="006D59E7">
        <w:rPr>
          <w:rFonts w:ascii="Times New Roman" w:hAnsi="Times New Roman"/>
          <w:sz w:val="28"/>
          <w:szCs w:val="28"/>
        </w:rPr>
        <w:t xml:space="preserve"> является показательным годом за всю историю деятельности КФБ. В этом году на площадке </w:t>
      </w:r>
      <w:r w:rsidR="00721C46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 xml:space="preserve"> значительно выросли торговые показатели за счет активизации деятельности портфельных инвесторов. Другим значимым событием 2007 года является реализация на КФБ пилотного проекта по организации размещения и обращения государственных казначейских векселей (ГКВ) сроком обращения 9 месяцев.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В 2008 году</w:t>
      </w:r>
      <w:r w:rsidRPr="006D59E7">
        <w:rPr>
          <w:rFonts w:ascii="Times New Roman" w:hAnsi="Times New Roman"/>
          <w:sz w:val="28"/>
          <w:szCs w:val="28"/>
        </w:rPr>
        <w:t>, негативное влияние мирового финансового кризиса в первую очередь сказалось на снижении инвестиционной активности и резком спаде сделок на фондовом рынке республики. Объемы торгов по итогам года составили</w:t>
      </w:r>
      <w:r w:rsidR="00721C46" w:rsidRPr="006D59E7">
        <w:rPr>
          <w:rFonts w:ascii="Times New Roman" w:hAnsi="Times New Roman"/>
          <w:sz w:val="28"/>
          <w:szCs w:val="28"/>
        </w:rPr>
        <w:t xml:space="preserve"> 4,1 млрд.с.</w:t>
      </w:r>
      <w:r w:rsidRPr="006D59E7">
        <w:rPr>
          <w:rFonts w:ascii="Times New Roman" w:hAnsi="Times New Roman"/>
          <w:sz w:val="28"/>
          <w:szCs w:val="28"/>
        </w:rPr>
        <w:t xml:space="preserve"> снизились по сравнению с 2007 годом на 20%.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2009 год</w:t>
      </w:r>
      <w:r w:rsidRPr="006D59E7">
        <w:rPr>
          <w:rFonts w:ascii="Times New Roman" w:hAnsi="Times New Roman"/>
          <w:sz w:val="28"/>
          <w:szCs w:val="28"/>
        </w:rPr>
        <w:t xml:space="preserve"> для Кыргызской Фондовой Биржи войдет в историю, как год плодотворного международного сотрудничества. Так, в сентября этого же года КФБ было подписано Соглашение между КФБ и компанией Structured Solution AG (Германия) о продвижении индекса КФБ на мировых финансовых рынках. Компания Structured Solution AG (Германия) является известной компаний в сфере продвижения информационных продуктов из молодых и развивающихся рынков. Соглашение подобного рода стало первым шагом, направленным на усиление притока инвестиций в нашу республику.</w:t>
      </w:r>
      <w:r w:rsidR="00621AFF">
        <w:rPr>
          <w:rFonts w:ascii="Times New Roman" w:hAnsi="Times New Roman"/>
          <w:sz w:val="28"/>
          <w:szCs w:val="28"/>
        </w:rPr>
        <w:t xml:space="preserve"> </w:t>
      </w:r>
      <w:r w:rsidR="00621AFF" w:rsidRPr="001401E4">
        <w:rPr>
          <w:rFonts w:ascii="Times New Roman" w:hAnsi="Times New Roman"/>
          <w:color w:val="FFFFFF"/>
          <w:sz w:val="28"/>
          <w:szCs w:val="28"/>
        </w:rPr>
        <w:t>кыргызстан фондовый биржа ценный бумага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>В 2010 году</w:t>
      </w:r>
      <w:r w:rsidRPr="006D59E7">
        <w:rPr>
          <w:rFonts w:ascii="Times New Roman" w:hAnsi="Times New Roman"/>
          <w:sz w:val="28"/>
          <w:szCs w:val="28"/>
        </w:rPr>
        <w:t xml:space="preserve"> в связи с принятием нового Закона «О рынке ценных бумаг»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 xml:space="preserve">КФБ получает лицензии на депозитарную и клиринговую деятельности. Получение данных лицензий существенно расширяет сферу деятельности </w:t>
      </w:r>
      <w:r w:rsidR="00986208" w:rsidRPr="006D59E7">
        <w:rPr>
          <w:rFonts w:ascii="Times New Roman" w:hAnsi="Times New Roman"/>
          <w:sz w:val="28"/>
          <w:szCs w:val="28"/>
        </w:rPr>
        <w:t>КФБ</w:t>
      </w:r>
      <w:r w:rsidRPr="006D59E7">
        <w:rPr>
          <w:rFonts w:ascii="Times New Roman" w:hAnsi="Times New Roman"/>
          <w:sz w:val="28"/>
          <w:szCs w:val="28"/>
        </w:rPr>
        <w:t>,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что потребовало создания на бирже нового подразделения - департамента депозитарно -клиринговых операций.</w:t>
      </w:r>
    </w:p>
    <w:p w:rsidR="00130B2B" w:rsidRPr="006D59E7" w:rsidRDefault="00130B2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 этом же году в практику корпоративного управления вводится ежегодная разработка и принятие Стратегии развития фондовой биржи. Первая Стратегия развития КФБ на 2010-2012 годы была принята Советом директором и одобрена общим собранием акционеров по итогам 2009 года. Использование стратегического планирования позволит сплотить как участников, так и сотрудников биржи вокруг достижения приоритетных целей всестороннего развития фондового рынка в стране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 повышения качества предоставляемых биржей услуг.</w:t>
      </w:r>
    </w:p>
    <w:p w:rsidR="007B5CBB" w:rsidRPr="006D59E7" w:rsidRDefault="007B5CBB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C46" w:rsidRPr="0044599A" w:rsidRDefault="00721C46" w:rsidP="0044599A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599A">
        <w:rPr>
          <w:rFonts w:ascii="Times New Roman" w:hAnsi="Times New Roman"/>
          <w:sz w:val="28"/>
          <w:szCs w:val="28"/>
        </w:rPr>
        <w:t>Профессиональные участники рынка ценных бумаг</w:t>
      </w:r>
    </w:p>
    <w:p w:rsidR="0044599A" w:rsidRDefault="0044599A" w:rsidP="00020A0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</w:p>
    <w:p w:rsidR="0074301C" w:rsidRPr="006D59E7" w:rsidRDefault="009C1B0A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 xml:space="preserve">Профессиональные участники рынка ценных бумаг </w:t>
      </w:r>
      <w:r w:rsidRPr="006D59E7">
        <w:rPr>
          <w:rFonts w:ascii="Times New Roman" w:hAnsi="Times New Roman"/>
          <w:sz w:val="28"/>
          <w:szCs w:val="28"/>
        </w:rPr>
        <w:t>- юридические лица, в том числе кредитные организации, а также граждане (физические лица), зарегистрированные в качестве предпринимателей, которые осуществл</w:t>
      </w:r>
      <w:r w:rsidR="00B5370A" w:rsidRPr="006D59E7">
        <w:rPr>
          <w:rFonts w:ascii="Times New Roman" w:hAnsi="Times New Roman"/>
          <w:sz w:val="28"/>
          <w:szCs w:val="28"/>
        </w:rPr>
        <w:t>яют следующие виды деятельности: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брокерская;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дилерская;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 доверительному управлению ценными бумагами;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клиринговая;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депозитарная;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инвестиционных фондов;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инвестиционных консультантов;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 ведению реестра владельцев ценных бумаг;</w:t>
      </w:r>
    </w:p>
    <w:p w:rsidR="00B5370A" w:rsidRPr="006D59E7" w:rsidRDefault="00B5370A" w:rsidP="00020A0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 организации торговли на рынке ценных бумаг.</w:t>
      </w:r>
    </w:p>
    <w:p w:rsidR="0074301C" w:rsidRPr="006D59E7" w:rsidRDefault="009C1B0A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iCs/>
          <w:sz w:val="28"/>
          <w:szCs w:val="28"/>
        </w:rPr>
        <w:t xml:space="preserve">Профессиональную деятельность на рынке ценных </w:t>
      </w:r>
      <w:r w:rsidRPr="006D59E7">
        <w:rPr>
          <w:rFonts w:ascii="Times New Roman" w:hAnsi="Times New Roman"/>
          <w:sz w:val="28"/>
          <w:szCs w:val="28"/>
        </w:rPr>
        <w:t xml:space="preserve">бумаг </w:t>
      </w:r>
      <w:r w:rsidR="00B5370A" w:rsidRPr="006D59E7">
        <w:rPr>
          <w:rFonts w:ascii="Times New Roman" w:hAnsi="Times New Roman"/>
          <w:sz w:val="28"/>
          <w:szCs w:val="28"/>
        </w:rPr>
        <w:t>КР</w:t>
      </w:r>
      <w:r w:rsidRPr="006D59E7">
        <w:rPr>
          <w:rFonts w:ascii="Times New Roman" w:hAnsi="Times New Roman"/>
          <w:sz w:val="28"/>
          <w:szCs w:val="28"/>
        </w:rPr>
        <w:t xml:space="preserve"> осуществляют 103 юридических лица на основании 147 лицензий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  <w:u w:val="single"/>
        </w:rPr>
        <w:t>Инфраструктура рынка ценных бумаг включает в себя все основные институты: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эмитенты;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инвесторы;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брокеры - дилеры;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фондовые биржи;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центральный депозитарий;</w:t>
      </w:r>
    </w:p>
    <w:p w:rsidR="0074301C" w:rsidRPr="006D59E7" w:rsidRDefault="009C1B0A" w:rsidP="00020A0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реестродержатели.</w:t>
      </w:r>
    </w:p>
    <w:p w:rsidR="0074301C" w:rsidRPr="006D59E7" w:rsidRDefault="009C1B0A" w:rsidP="00020A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Деятельность по организации торгов ценными бумагами осуществляют три лицензированных организатора торгов: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ЗАО "Кыргызская фондовая биржа";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ЗАО "Биржевая торговая система";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59E7">
        <w:rPr>
          <w:rFonts w:ascii="Times New Roman" w:hAnsi="Times New Roman"/>
          <w:sz w:val="28"/>
          <w:szCs w:val="28"/>
        </w:rPr>
        <w:t>ЗАО</w:t>
      </w:r>
      <w:r w:rsidRPr="006D59E7">
        <w:rPr>
          <w:rFonts w:ascii="Times New Roman" w:hAnsi="Times New Roman"/>
          <w:sz w:val="28"/>
          <w:szCs w:val="28"/>
          <w:lang w:val="en-US"/>
        </w:rPr>
        <w:t xml:space="preserve"> "Central Asian Stock Exchange".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Право на осуществление депозитарной деятельности имеют</w:t>
      </w:r>
      <w:r w:rsidRPr="006D59E7">
        <w:rPr>
          <w:rFonts w:ascii="Times New Roman" w:hAnsi="Times New Roman"/>
          <w:sz w:val="28"/>
          <w:szCs w:val="28"/>
        </w:rPr>
        <w:t>: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ЗАО "Центральный депозитарий";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ООО "Биржевая торговая система";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Инвестиционный акционерный коммерческий банк "Иссык-Куль";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D59E7">
        <w:rPr>
          <w:rFonts w:ascii="Times New Roman" w:hAnsi="Times New Roman"/>
          <w:sz w:val="28"/>
          <w:szCs w:val="28"/>
        </w:rPr>
        <w:t>ЗАО</w:t>
      </w:r>
      <w:r w:rsidRPr="006D59E7">
        <w:rPr>
          <w:rFonts w:ascii="Times New Roman" w:hAnsi="Times New Roman"/>
          <w:sz w:val="28"/>
          <w:szCs w:val="28"/>
          <w:lang w:val="en-US"/>
        </w:rPr>
        <w:t xml:space="preserve"> "Central Asian Stock Exchange".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На рынке ценных бумаг Кыргызстана успешно работают 32 брокерские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 28 дилерских компаний.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Лицензию на право ведения реестра владельцев ценных бумаг имеют 18 компаний.</w:t>
      </w:r>
    </w:p>
    <w:p w:rsidR="0074301C" w:rsidRPr="006D59E7" w:rsidRDefault="009C1B0A" w:rsidP="00020A0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На рынке работают пять инвестиционных фондов: ОАО АИФ "Элесинвест", ОАО АИФ "Жаштык-Инвест", ОАО АИФ "АлаТоо-Инвест", Специализированная инвестиционная компания "Нур-Инвест" и АООТ АИФ "Береке-Инвест".</w:t>
      </w:r>
    </w:p>
    <w:p w:rsidR="00B5370A" w:rsidRPr="006D59E7" w:rsidRDefault="00B537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Брокерской деятельностью</w:t>
      </w:r>
      <w:r w:rsidRPr="006D59E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признается совершение гражданско-правовых сделок с ценными бумагами в качестве поверенного или комиссионера, действующего на основании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74301C" w:rsidRPr="006D59E7" w:rsidRDefault="009C1B0A" w:rsidP="00020A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 брокерскую деятельность, именуется брокером. Брокером может быть только юридическое лицо, являющееся коммерческой организацией.</w:t>
      </w:r>
    </w:p>
    <w:p w:rsidR="0074301C" w:rsidRPr="006D59E7" w:rsidRDefault="009C1B0A" w:rsidP="00020A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Брокер должен выполнять поручения клиентов добросовестно и в соответствии с условиями договора. Сделки, осуществляемые по поручению клиентов, во всех случаях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подлежат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приоритетному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исполнению по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сравнению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с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дилерскими операциями самого брокера при совмещении им деятельности брокера и дилера.</w:t>
      </w:r>
    </w:p>
    <w:p w:rsidR="0074301C" w:rsidRPr="006D59E7" w:rsidRDefault="009C1B0A" w:rsidP="00020A0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 случае, если брокер действует в качестве комиссионера, договор комиссии может предусматривать обязательство хранить денежные средства, предназначенные для инвестирования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в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ценные бумаги или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полученные в результате продажи ценных бумаг у брокера на счетах и право их использования брокером до момента возврата этих денежных средств клиенту в соответствии с условиями договора.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Дилерской деятельностью</w:t>
      </w:r>
      <w:r w:rsidR="006D59E7" w:rsidRPr="006D59E7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признается совершение сделок купли-продажи ценных бумаг от своего имени и за свой счет путем объявления цен покупки и/или продажи определенных ценных бумаг с обязательством покупки и/или продажи этих ценных бумаг по ценам, объявленным лицом, осуществляющим такую деятельность.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Профессиональный участник, совершающий сделки с ценными бумагами от своего имени и за свой счет с целью получения прибыли в результате последующей перепродажи ценных бумаг или совершения иных сделок с ними, именуется дилером.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Дилером может быть только юридическое лицо, являющееся коммерческой организацией.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Кроме цены дилер обязан объявить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условия договора купли-продажи ценных бумаг: минимальное и максимальное количество покупаемых и/или продаваемых ценных бумаг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 xml:space="preserve">Под деятельностью по доверительному управлению ценными бумагами </w:t>
      </w:r>
      <w:r w:rsidRPr="006D59E7">
        <w:rPr>
          <w:rFonts w:ascii="Times New Roman" w:hAnsi="Times New Roman"/>
          <w:sz w:val="28"/>
          <w:szCs w:val="28"/>
        </w:rPr>
        <w:t>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лиц: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ценными бумагами;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денежными средствами, предназначенными для инвестирования в ценные бумаги;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денежными средствами и ценными бумагами, получаемыми в процессе доверительного управления ценными бумагами.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Порядок осуществления деятельности по доверительному управлению ценными бумагами, права и обязанности доверительного управляющего определяются законодательством КР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Доверительный управляющий при осуществлении своей деятельности обязан указывать, что он действует в качестве доверительного управляющего.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iCs/>
          <w:sz w:val="28"/>
          <w:szCs w:val="28"/>
          <w:u w:val="single"/>
        </w:rPr>
        <w:t xml:space="preserve">Клиринговая деятельность </w:t>
      </w:r>
      <w:r w:rsidRPr="006D59E7">
        <w:rPr>
          <w:rFonts w:ascii="Times New Roman" w:hAnsi="Times New Roman"/>
          <w:sz w:val="28"/>
          <w:szCs w:val="28"/>
        </w:rPr>
        <w:t>- деятельность по определению взаимных обязательств (сбор, сверка, корректировка информации по сделкам с ценными бумагами и подготовка бухгалтерских документов по ним) и их зачету по поставкам ценных бумаг и расчетам по ним.</w:t>
      </w:r>
    </w:p>
    <w:p w:rsidR="0074301C" w:rsidRPr="006D59E7" w:rsidRDefault="009C1B0A" w:rsidP="00020A0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Организации, осуществляющие клиринг по ценным бумагам,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бумаг, для которых в установленном порядке производятся расчеты.</w:t>
      </w:r>
    </w:p>
    <w:p w:rsidR="00B5370A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Клиринговая организация, осуществляющая расчеты по сделкам с ценными бумагами, обязана формировать специальные фонды для снижения рисков неисполнения сделок с ценными бумагами. Минимальный размер специальных фондов клиринговых организаций устанавливается Национальной комиссией по согласованию с Национальным банком КР.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Депозитарной деятельностью</w:t>
      </w:r>
      <w:r w:rsidRPr="006D59E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признается оказание услуг по хранению ценных бумаг и/или учету и переходу прав на ценные бумаги.</w:t>
      </w:r>
    </w:p>
    <w:p w:rsidR="0074301C" w:rsidRPr="006D59E7" w:rsidRDefault="009C1B0A" w:rsidP="00020A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Профессиональный участник рынка ценных бумаг, осуществляющий депозитарную деятельность, именуется депозитарием. Депозитарием может быть только юридическое лицо.</w:t>
      </w:r>
    </w:p>
    <w:p w:rsidR="0074301C" w:rsidRPr="006D59E7" w:rsidRDefault="009C1B0A" w:rsidP="00020A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Лицо, пользующееся услугами депозитария по хранению ценных бумаг и/или учету прав на ценные бумаги, именуется депонентом.</w:t>
      </w:r>
    </w:p>
    <w:p w:rsidR="00195846" w:rsidRPr="006D59E7" w:rsidRDefault="009C1B0A" w:rsidP="00020A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Договор между депозитарием и депонентом, регулирующий их отношения в процессе депозитарной деятельности, именуется депозитарным договором (договором о счете депо). Депозитарный договор должен быть заключен в письменной форме.</w:t>
      </w:r>
    </w:p>
    <w:p w:rsidR="0074301C" w:rsidRPr="006D59E7" w:rsidRDefault="009C1B0A" w:rsidP="00020A0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Заключение депозитарного договора не влечет за собой переход к депозитарию права собственности на ценные бумаги депонента. Депозитарий не имеет права распоряжаться ценными бумагами депонента, управлять ими или осуществлять от имени депонента любые действия с ценными бумагами, кроме осуществляемых по поручению депонента в случаях, предусмотренных депозитарным договором. Депозитарий не имеет права обусловливать заключение депозитарного договора с депонентом отказом последнего хотя бы от одного из прав, закрепленных ценными бумагами. Депозитарий несет гражданско-правовую ответственность за сохранность депонированных у него ценных бумаг.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Деятельность инвестиционных фондов</w:t>
      </w:r>
    </w:p>
    <w:p w:rsidR="007B5CBB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Инвестиционный фонд создается в целях привлечения денежных средств посредством выпуска и открытого размещения своих ценных бумаг и последующего диверсифицированного инвестирования привлеченных средств в ценные бумаги.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="007B5CBB" w:rsidRPr="006D59E7">
        <w:rPr>
          <w:rFonts w:ascii="Times New Roman" w:hAnsi="Times New Roman"/>
          <w:sz w:val="28"/>
          <w:szCs w:val="28"/>
        </w:rPr>
        <w:t>Учреждение и деятельность инвестиционных фондов регулируются законодательством Кыргызской Республики.</w:t>
      </w:r>
    </w:p>
    <w:p w:rsidR="0074301C" w:rsidRPr="006D59E7" w:rsidRDefault="009C1B0A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iCs/>
          <w:sz w:val="28"/>
          <w:szCs w:val="28"/>
          <w:u w:val="single"/>
        </w:rPr>
        <w:t xml:space="preserve">Деятельность инвестиционного консультанта </w:t>
      </w:r>
      <w:r w:rsidRPr="006D59E7">
        <w:rPr>
          <w:rFonts w:ascii="Times New Roman" w:hAnsi="Times New Roman"/>
          <w:sz w:val="28"/>
          <w:szCs w:val="28"/>
        </w:rPr>
        <w:t>- оказание консультационных услуг на рынке ценных бумаг.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Деятельностью по ведению реестра владельцев ценных бумаг</w:t>
      </w:r>
      <w:r w:rsidRPr="006D59E7">
        <w:rPr>
          <w:rFonts w:ascii="Times New Roman" w:hAnsi="Times New Roman"/>
          <w:sz w:val="28"/>
          <w:szCs w:val="28"/>
        </w:rPr>
        <w:t xml:space="preserve"> признаются сбор, фиксация, обработка, хранение и предоставление данных, составляющих систему ведения реестра владельцев ценных бумаг.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Деятельностью по ведению реестра владельцев ценных бумаг имеют право заниматься только юридические лица.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Лица, осуществляющие деятельность по ведению реестра владельцев ценных бумаг, именуются держателями реестра (регистраторами).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Регистратор не вправе осуществлять сделки с ценными бумагами зарегистрированного в системе ведения реестра владельцев ценных бумаг эмитента. Регистратор вправе оказывать консультации эмитентам, акционерам по вопросам ведения реестра, соблюдение прав акционеров.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Под системой ведения реестра владельцев ценных бумаг понимается совокупность данных, зафиксированных на бумажном носителе и/или с использованием электронной базы данных, обеспечивающих идентификацию зарегистрированных в системе ведения реестра владельцев ценных бумаг номинальных держателей и владельцев ценных бумаг и учет их прав в отношении ценных бумаг, зарегистрированных на их имя, позволяющая получать и направлять информацию указанным лицам и составлять реестр владельцев ценных бумаг.</w:t>
      </w:r>
      <w:r w:rsidR="006D59E7" w:rsidRPr="006D59E7">
        <w:rPr>
          <w:rFonts w:ascii="Times New Roman" w:hAnsi="Times New Roman"/>
          <w:sz w:val="28"/>
          <w:szCs w:val="28"/>
        </w:rPr>
        <w:t xml:space="preserve"> </w:t>
      </w:r>
      <w:r w:rsidRPr="006D59E7">
        <w:rPr>
          <w:rFonts w:ascii="Times New Roman" w:hAnsi="Times New Roman"/>
          <w:sz w:val="28"/>
          <w:szCs w:val="28"/>
        </w:rPr>
        <w:t>Держателем реестра может быть эмитент или регистратор, осуществляющий деятельность по ведению реестра на основании договора с эмитентом. В случае, если число владельцев превышает 50, а также в случаях дополнительной эмиссии или размещения своих ценных бумаг на фондовой бирже держателем реестра должен быть независимый от эмитента регистратор. Регистратор имеет право делегировать часть своих функций по сбору информации, входящей в систему ведения реестра.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iCs/>
          <w:sz w:val="28"/>
          <w:szCs w:val="28"/>
          <w:u w:val="single"/>
        </w:rPr>
        <w:t>Деятельностью по организации торговли на рынке ценных бумаг</w:t>
      </w:r>
      <w:r w:rsidRPr="006D59E7">
        <w:rPr>
          <w:rFonts w:ascii="Times New Roman" w:hAnsi="Times New Roman"/>
          <w:sz w:val="28"/>
          <w:szCs w:val="28"/>
        </w:rPr>
        <w:t xml:space="preserve"> признается предоставление услуг, непосредственно способствующих заключению гражданско-правовых сделок с ценными бумагами между участниками рынка ценных бумаг.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iCs/>
          <w:sz w:val="28"/>
          <w:szCs w:val="28"/>
        </w:rPr>
        <w:t xml:space="preserve">Профессиональный участник рынка ценных бумаг, </w:t>
      </w:r>
      <w:r w:rsidRPr="006D59E7">
        <w:rPr>
          <w:rFonts w:ascii="Times New Roman" w:hAnsi="Times New Roman"/>
          <w:sz w:val="28"/>
          <w:szCs w:val="28"/>
        </w:rPr>
        <w:t>осуществляющий деятельность по организации торговли на рынке ценных бумаг, называется организатором торговли на рынке ценных бумаг.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 xml:space="preserve">Организатор торговли на рынке ценных бумаг обязан раскрыть </w:t>
      </w:r>
      <w:r w:rsidRPr="006D59E7">
        <w:rPr>
          <w:rFonts w:ascii="Times New Roman" w:hAnsi="Times New Roman"/>
          <w:sz w:val="28"/>
          <w:szCs w:val="28"/>
          <w:u w:val="single"/>
        </w:rPr>
        <w:t>следующую информацию любому заинтересованному лицу</w:t>
      </w:r>
      <w:r w:rsidRPr="006D59E7">
        <w:rPr>
          <w:rFonts w:ascii="Times New Roman" w:hAnsi="Times New Roman"/>
          <w:sz w:val="28"/>
          <w:szCs w:val="28"/>
        </w:rPr>
        <w:t>: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правила допуска профессионального участника рынка ценных бумаг к торгам;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правила допуска к торгам ценных бумаг;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правила заключения, оформления и регистрации сделок;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порядок исполнения сделок;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правила, ограничивающие манипулирование ценами;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расписание предоставления услуг организатором торговли на рынке ценных бумаг;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порядок внесения изменений и дополнений в вышеперечисленные позиции;</w:t>
      </w:r>
    </w:p>
    <w:p w:rsidR="0074301C" w:rsidRPr="006D59E7" w:rsidRDefault="009C1B0A" w:rsidP="00020A06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список ценных бумаг, допущенных к торгам.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Организатор торговли обязан обеспечить гласность и публичность проводимых торгов путем оповещения своих членов о месте и времени проведения торгов, о списке и котировке ценных бумаг, допущенных к обращению, о результатах торговых сессий.</w:t>
      </w:r>
    </w:p>
    <w:p w:rsidR="0044599A" w:rsidRDefault="0044599A" w:rsidP="00020A0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0B5E" w:rsidRPr="006D59E7" w:rsidRDefault="00B50B5E" w:rsidP="0044599A">
      <w:pPr>
        <w:pStyle w:val="aa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D59E7">
        <w:rPr>
          <w:sz w:val="28"/>
          <w:szCs w:val="28"/>
        </w:rPr>
        <w:t>Годовой отчет Кыргызской Фондовой биржи</w:t>
      </w:r>
    </w:p>
    <w:p w:rsidR="0044599A" w:rsidRDefault="0044599A" w:rsidP="00020A0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611C" w:rsidRPr="006D59E7" w:rsidRDefault="0053611C" w:rsidP="00020A0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9E7">
        <w:rPr>
          <w:sz w:val="28"/>
          <w:szCs w:val="28"/>
        </w:rPr>
        <w:t>За 2010 год на торговой площадке «Фондовая биржа Кыргызстана – БТС» было заключено 810 сделок, общим объемом 572,476 млн.сом с количеством ценных бумаг 10 824 942 штук.</w:t>
      </w:r>
      <w:r w:rsidR="006D59E7" w:rsidRPr="006D59E7">
        <w:rPr>
          <w:sz w:val="28"/>
          <w:szCs w:val="28"/>
        </w:rPr>
        <w:t xml:space="preserve"> </w:t>
      </w:r>
      <w:r w:rsidRPr="006D59E7">
        <w:rPr>
          <w:sz w:val="28"/>
          <w:szCs w:val="28"/>
        </w:rPr>
        <w:t>В 2010 году ЗАО «Фондовая биржа Кыргызстана - БТС» заняло первое место по количеству и объему совершенных сделок с корпоративными акциями и облигациями на рынке ценных бумаг КР. Доля биржи за 12 месяцев 2010 года по количеству заключенных сделок составляет 51% всех заключенных сделок, а по объему сделок доля биржи составила 40% общего объема сделок</w:t>
      </w:r>
      <w:r w:rsidR="006D59E7" w:rsidRPr="006D59E7">
        <w:rPr>
          <w:sz w:val="28"/>
          <w:szCs w:val="28"/>
        </w:rPr>
        <w:t xml:space="preserve"> </w:t>
      </w:r>
      <w:r w:rsidRPr="006D59E7">
        <w:rPr>
          <w:sz w:val="28"/>
          <w:szCs w:val="28"/>
        </w:rPr>
        <w:t>рынка ценных бумаг Кыргызстана. Данный факт свидетельствует о том, что торговая площадка Фондовая биржа Кыргызстана была и остается наиболее привлекательной для брокеров и дилеров. Сделки совершались с корпоративными акциями и облигациями 128 компаний различных отраслей экономики.</w:t>
      </w:r>
    </w:p>
    <w:p w:rsidR="0053611C" w:rsidRPr="006D59E7" w:rsidRDefault="0053611C" w:rsidP="00020A06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9E7">
        <w:rPr>
          <w:sz w:val="28"/>
          <w:szCs w:val="28"/>
        </w:rPr>
        <w:t>В 2010 году основной объем новых выпусков корпоративных акций за отчетный период производили эмитенты финансового сектора экономики. </w:t>
      </w:r>
      <w:r w:rsidR="006D59E7" w:rsidRPr="006D59E7">
        <w:rPr>
          <w:sz w:val="28"/>
          <w:szCs w:val="28"/>
        </w:rPr>
        <w:t xml:space="preserve"> </w:t>
      </w:r>
      <w:r w:rsidRPr="006D59E7">
        <w:rPr>
          <w:sz w:val="28"/>
          <w:szCs w:val="28"/>
        </w:rPr>
        <w:t>ОАО «Страховая компания «Кыргызстан» разместило свою 6-ю эмиссию акций, общим объемом 1,500 млн.сом с количеством акций 213 164 штук.</w:t>
      </w:r>
      <w:r w:rsidR="006D59E7" w:rsidRPr="006D59E7">
        <w:rPr>
          <w:sz w:val="28"/>
          <w:szCs w:val="28"/>
        </w:rPr>
        <w:t xml:space="preserve"> </w:t>
      </w:r>
      <w:r w:rsidRPr="006D59E7">
        <w:rPr>
          <w:sz w:val="28"/>
          <w:szCs w:val="28"/>
        </w:rPr>
        <w:t xml:space="preserve">ОАО «Голден Сан», занимающаяся выпуском пищевых продуктов – консервированных овощей и фруктов, компотов, соков и других продуктов разместило эмиссию акций с целью увеличения уставного капитала, расширения производственных мощностей и обновления основных средств. </w:t>
      </w:r>
      <w:r w:rsidR="006D59E7" w:rsidRPr="006D59E7">
        <w:rPr>
          <w:sz w:val="28"/>
          <w:szCs w:val="28"/>
        </w:rPr>
        <w:t xml:space="preserve"> </w:t>
      </w:r>
      <w:r w:rsidRPr="006D59E7">
        <w:rPr>
          <w:sz w:val="28"/>
          <w:szCs w:val="28"/>
        </w:rPr>
        <w:t>В октябре прошли 35 сделок по размещению акций ОАО «Дос-Кредобанк». Средневзвешенная цена за акцию данной компании составила 1000,00 сом. Общий объем сделок составил 28,65 млн.сом. Также ОАО РК «Аманбанк» в ноябре разместило свою эмиссию общим объемом 37,00 млн.сом по 1000,00 сом за экземпляр. Мэрия г.</w:t>
      </w:r>
      <w:r w:rsidR="00621AFF">
        <w:rPr>
          <w:sz w:val="28"/>
          <w:szCs w:val="28"/>
          <w:lang w:val="uk-UA"/>
        </w:rPr>
        <w:t xml:space="preserve"> </w:t>
      </w:r>
      <w:r w:rsidRPr="006D59E7">
        <w:rPr>
          <w:sz w:val="28"/>
          <w:szCs w:val="28"/>
        </w:rPr>
        <w:t>Бишкек выпустила 2 500 000 муниципальных облигаций, сроком обращения – 1 год и доходностью – 7% годовых. Было размещено 2 250 000 облигаций по цене 100 сом за экземпляр.</w:t>
      </w:r>
    </w:p>
    <w:p w:rsidR="007B5CBB" w:rsidRPr="006D59E7" w:rsidRDefault="007B5C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CBB" w:rsidRDefault="00695A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http://bts.kg/images/stories/o1.jpg" style="width:279.75pt;height:186.75pt;visibility:visible">
            <v:imagedata r:id="rId7" o:title="o1"/>
          </v:shape>
        </w:pict>
      </w:r>
    </w:p>
    <w:p w:rsidR="00020A06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A06">
        <w:rPr>
          <w:rFonts w:ascii="Times New Roman" w:hAnsi="Times New Roman"/>
          <w:sz w:val="28"/>
          <w:szCs w:val="28"/>
        </w:rPr>
        <w:t>Доля Фондовой биржи Кыргызстана - БТС по количеству сделок на рынке ценных бумаг Кыргызской Республики за 2010 год.</w:t>
      </w:r>
    </w:p>
    <w:p w:rsidR="00020A06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370A" w:rsidRPr="006D59E7" w:rsidRDefault="00695ABB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Описание: Описание: http://bts.kg/images/stories/o6.jpg" style="width:291pt;height:224.25pt;visibility:visible">
            <v:imagedata r:id="rId8" o:title="o6"/>
          </v:shape>
        </w:pict>
      </w:r>
    </w:p>
    <w:p w:rsidR="0053611C" w:rsidRPr="006D59E7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A06">
        <w:rPr>
          <w:rFonts w:ascii="Times New Roman" w:hAnsi="Times New Roman"/>
          <w:sz w:val="28"/>
          <w:szCs w:val="28"/>
        </w:rPr>
        <w:t>Рис. Данные об объемах сделок зарегистрированных на Фондовой бирже за 12 месяцев 2010г. в разрезе регионов Республики.</w:t>
      </w:r>
    </w:p>
    <w:p w:rsidR="00977128" w:rsidRPr="006D59E7" w:rsidRDefault="00977128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A06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611C" w:rsidRPr="006D59E7" w:rsidRDefault="0053611C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Заключение</w:t>
      </w:r>
    </w:p>
    <w:p w:rsidR="00020A06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11C" w:rsidRPr="006D59E7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На первичном рынке Кыргызстана сложилась такая ситуация, что эмиссии каждый год выпускают в основном эмитенты финансового сектора экономики (банки, страховые компании). Из этого следует, что предприятия реального сектора экономики пока еще слабо используют возможность привлечь финансовые средства через фондовый рынок.</w:t>
      </w:r>
    </w:p>
    <w:p w:rsidR="0053611C" w:rsidRPr="006D59E7" w:rsidRDefault="0053611C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Апрельские события в Бишкеке и июньские события на юге Кыргызстана очень серьезно повлияли на состояние рынка ценных бумаг Республики. В связи с тем, что Государственная служба регулирования и надзора за финансовым рынком заблокировала проведение сделок с ценными бумагами, больше месяца на рынке ценных бумаг не проводилось сделок вообще. Наблюдалось резкое увеличение предложения продажи акций таких компаний как ОАО «Кыргызтелеком», ОАО «Международный аэропорт «Манас», энергокомпаний.</w:t>
      </w:r>
    </w:p>
    <w:p w:rsidR="00977128" w:rsidRPr="006D59E7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В настоящее время практически все существующие в Кыргызской Республике предприятия испытывают нехватку финансовых ресурсов и сталкиваются с трудностями при получении банковских кредитов. В связи с этим весьма перспективными могут оказаться возможности отечественного фондового рынка, в частности выпуск облигационных займов. Использование долговых ценных бумаг имеет то преимущество, что позволяет напрямую выйти на инвесторов, минуя финансово-кредитные учреждения, нередко искажающие состояние рынка капиталов, и привлечь финансовые ресурсы на более дешевой и долгосрочной основе.</w:t>
      </w:r>
    </w:p>
    <w:p w:rsidR="00E34E49" w:rsidRPr="006D59E7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A06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34E49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Список литературы</w:t>
      </w:r>
    </w:p>
    <w:p w:rsidR="00020A06" w:rsidRPr="006D59E7" w:rsidRDefault="00020A06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01C" w:rsidRPr="006D59E7" w:rsidRDefault="009C1B0A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ЗАКОН КЫРГЫЗСКОЙ РЕСПУБЛИКИ О рынке ценных бумаг(В редакции Закона КР от 27 января 2006 года N 18)</w:t>
      </w:r>
    </w:p>
    <w:p w:rsidR="0074301C" w:rsidRPr="006D59E7" w:rsidRDefault="009C1B0A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Годовой статистический отчет биржи за 2010 год.</w:t>
      </w:r>
    </w:p>
    <w:p w:rsidR="0074301C" w:rsidRPr="006D59E7" w:rsidRDefault="009C1B0A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Постановление Госкомиссии КР по ценным бумагам от 9 января 2002 года N 2 "Об утверждении Положения о профессиональной деятельности брокеров и дилеров на рынке ценных бумаг Кыргызской Республики"</w:t>
      </w:r>
    </w:p>
    <w:p w:rsidR="0074301C" w:rsidRPr="006D59E7" w:rsidRDefault="009C1B0A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>Постановление Нацкомиссии по ценным бумагам от 30 декабря 1998 года N 63 "Об утверждении Положения о клиринговой деятельности на рынке ценных бумаг в Кыргызской Республике"</w:t>
      </w:r>
    </w:p>
    <w:p w:rsidR="0074301C" w:rsidRPr="006D59E7" w:rsidRDefault="009C1B0A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sz w:val="28"/>
          <w:szCs w:val="28"/>
        </w:rPr>
        <w:t xml:space="preserve">Постановление Госкомиссии КР по ценным бумагам от 2 июля 2001 года N 31 "Об утверждении Положения о профессиональной деятельности инвестиционных консультантов на рынке ценных бумаг </w:t>
      </w:r>
      <w:r w:rsidR="00E34E49" w:rsidRPr="006D59E7">
        <w:rPr>
          <w:rFonts w:ascii="Times New Roman" w:hAnsi="Times New Roman"/>
          <w:sz w:val="28"/>
          <w:szCs w:val="28"/>
        </w:rPr>
        <w:t>КР</w:t>
      </w:r>
    </w:p>
    <w:p w:rsidR="00E34E49" w:rsidRPr="006D59E7" w:rsidRDefault="00E34E49" w:rsidP="00020A06">
      <w:pPr>
        <w:numPr>
          <w:ilvl w:val="0"/>
          <w:numId w:val="17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9E7">
        <w:rPr>
          <w:rFonts w:ascii="Times New Roman" w:hAnsi="Times New Roman"/>
          <w:bCs/>
          <w:sz w:val="28"/>
          <w:szCs w:val="28"/>
        </w:rPr>
        <w:t xml:space="preserve">Годовой статистический отчет биржи за 2010 год. </w:t>
      </w:r>
      <w:r w:rsidRPr="006D59E7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6D59E7">
        <w:rPr>
          <w:rFonts w:ascii="Times New Roman" w:hAnsi="Times New Roman"/>
          <w:bCs/>
          <w:sz w:val="28"/>
          <w:szCs w:val="28"/>
        </w:rPr>
        <w:t>.</w:t>
      </w:r>
      <w:r w:rsidRPr="006D59E7">
        <w:rPr>
          <w:rFonts w:ascii="Times New Roman" w:hAnsi="Times New Roman"/>
          <w:bCs/>
          <w:sz w:val="28"/>
          <w:szCs w:val="28"/>
          <w:lang w:val="en-US"/>
        </w:rPr>
        <w:t>bts</w:t>
      </w:r>
      <w:r w:rsidRPr="006D59E7">
        <w:rPr>
          <w:rFonts w:ascii="Times New Roman" w:hAnsi="Times New Roman"/>
          <w:bCs/>
          <w:sz w:val="28"/>
          <w:szCs w:val="28"/>
        </w:rPr>
        <w:t>.</w:t>
      </w:r>
      <w:r w:rsidRPr="006D59E7">
        <w:rPr>
          <w:rFonts w:ascii="Times New Roman" w:hAnsi="Times New Roman"/>
          <w:bCs/>
          <w:sz w:val="28"/>
          <w:szCs w:val="28"/>
          <w:lang w:val="en-US"/>
        </w:rPr>
        <w:t>kg</w:t>
      </w:r>
    </w:p>
    <w:p w:rsidR="00E34E49" w:rsidRPr="001401E4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34E49" w:rsidRPr="001401E4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34E49" w:rsidRPr="001401E4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34E49" w:rsidRPr="001401E4" w:rsidRDefault="00E34E49" w:rsidP="0002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34E49" w:rsidRPr="001401E4" w:rsidSect="006D59E7">
      <w:head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1E" w:rsidRDefault="00DE601E" w:rsidP="007B5CBB">
      <w:pPr>
        <w:spacing w:after="0" w:line="240" w:lineRule="auto"/>
      </w:pPr>
      <w:r>
        <w:separator/>
      </w:r>
    </w:p>
  </w:endnote>
  <w:endnote w:type="continuationSeparator" w:id="0">
    <w:p w:rsidR="00DE601E" w:rsidRDefault="00DE601E" w:rsidP="007B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1E" w:rsidRDefault="00DE601E" w:rsidP="007B5CBB">
      <w:pPr>
        <w:spacing w:after="0" w:line="240" w:lineRule="auto"/>
      </w:pPr>
      <w:r>
        <w:separator/>
      </w:r>
    </w:p>
  </w:footnote>
  <w:footnote w:type="continuationSeparator" w:id="0">
    <w:p w:rsidR="00DE601E" w:rsidRDefault="00DE601E" w:rsidP="007B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DC6" w:rsidRPr="00177DC6" w:rsidRDefault="00177DC6" w:rsidP="00177DC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253"/>
    <w:multiLevelType w:val="hybridMultilevel"/>
    <w:tmpl w:val="89A2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624F61"/>
    <w:multiLevelType w:val="hybridMultilevel"/>
    <w:tmpl w:val="03C4BD20"/>
    <w:lvl w:ilvl="0" w:tplc="12CA3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EE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C5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2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AD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446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2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E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0D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4600D"/>
    <w:multiLevelType w:val="hybridMultilevel"/>
    <w:tmpl w:val="455C7010"/>
    <w:lvl w:ilvl="0" w:tplc="823A8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4F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6A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8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05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7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AA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C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63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8E2DC8"/>
    <w:multiLevelType w:val="hybridMultilevel"/>
    <w:tmpl w:val="02F26A56"/>
    <w:lvl w:ilvl="0" w:tplc="E8083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A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28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CC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6F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88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E5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68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449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E5504B"/>
    <w:multiLevelType w:val="hybridMultilevel"/>
    <w:tmpl w:val="0AF6C13C"/>
    <w:lvl w:ilvl="0" w:tplc="C8BC4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2A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4D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6F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AD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6A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2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C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8D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3482DAD"/>
    <w:multiLevelType w:val="hybridMultilevel"/>
    <w:tmpl w:val="0694A812"/>
    <w:lvl w:ilvl="0" w:tplc="5FEC3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A2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08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45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4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A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E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AD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82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A926FD"/>
    <w:multiLevelType w:val="hybridMultilevel"/>
    <w:tmpl w:val="EC46E2F0"/>
    <w:lvl w:ilvl="0" w:tplc="BE7E5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A4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AC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2B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96F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7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A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47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F87B06"/>
    <w:multiLevelType w:val="hybridMultilevel"/>
    <w:tmpl w:val="B26AF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A2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8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1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2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A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8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382C7B"/>
    <w:multiLevelType w:val="multilevel"/>
    <w:tmpl w:val="4D70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5B0AEA"/>
    <w:multiLevelType w:val="hybridMultilevel"/>
    <w:tmpl w:val="EB6E9A9A"/>
    <w:lvl w:ilvl="0" w:tplc="8F9E0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C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4B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2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67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0D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AE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A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ED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A15A18"/>
    <w:multiLevelType w:val="hybridMultilevel"/>
    <w:tmpl w:val="4782C5F6"/>
    <w:lvl w:ilvl="0" w:tplc="169A5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06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6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6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FA5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83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01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EA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E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B46200"/>
    <w:multiLevelType w:val="multilevel"/>
    <w:tmpl w:val="CE44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8C3F12"/>
    <w:multiLevelType w:val="hybridMultilevel"/>
    <w:tmpl w:val="A50E9D36"/>
    <w:lvl w:ilvl="0" w:tplc="CF604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E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0A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E9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0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C3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C7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AA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507B56"/>
    <w:multiLevelType w:val="hybridMultilevel"/>
    <w:tmpl w:val="DA22D682"/>
    <w:lvl w:ilvl="0" w:tplc="CB9CD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C7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6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E7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6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24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E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83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A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C553858"/>
    <w:multiLevelType w:val="multilevel"/>
    <w:tmpl w:val="6DD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A7728"/>
    <w:multiLevelType w:val="hybridMultilevel"/>
    <w:tmpl w:val="157ED7D0"/>
    <w:lvl w:ilvl="0" w:tplc="04268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E4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CC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23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C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AE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0E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0F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661627"/>
    <w:multiLevelType w:val="hybridMultilevel"/>
    <w:tmpl w:val="06A2C14C"/>
    <w:lvl w:ilvl="0" w:tplc="F5E87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4C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8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1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0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2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A4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8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8E193A"/>
    <w:multiLevelType w:val="hybridMultilevel"/>
    <w:tmpl w:val="0988E29E"/>
    <w:lvl w:ilvl="0" w:tplc="5EC89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2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0B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2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4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A1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8F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CC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08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D0040C"/>
    <w:multiLevelType w:val="hybridMultilevel"/>
    <w:tmpl w:val="8F96D1A4"/>
    <w:lvl w:ilvl="0" w:tplc="4FCE2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16"/>
  </w:num>
  <w:num w:numId="17">
    <w:abstractNumId w:val="7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B2B"/>
    <w:rsid w:val="00016D55"/>
    <w:rsid w:val="00020A06"/>
    <w:rsid w:val="00130B2B"/>
    <w:rsid w:val="001401E4"/>
    <w:rsid w:val="00177DC6"/>
    <w:rsid w:val="00195846"/>
    <w:rsid w:val="001F1CEC"/>
    <w:rsid w:val="00352789"/>
    <w:rsid w:val="003656C4"/>
    <w:rsid w:val="0044599A"/>
    <w:rsid w:val="0053611C"/>
    <w:rsid w:val="00621AFF"/>
    <w:rsid w:val="00695ABB"/>
    <w:rsid w:val="006D59E7"/>
    <w:rsid w:val="00721C46"/>
    <w:rsid w:val="0074301C"/>
    <w:rsid w:val="00792CAC"/>
    <w:rsid w:val="007B5CBB"/>
    <w:rsid w:val="008A4082"/>
    <w:rsid w:val="00977128"/>
    <w:rsid w:val="00986208"/>
    <w:rsid w:val="009C1B0A"/>
    <w:rsid w:val="00A50226"/>
    <w:rsid w:val="00A533DE"/>
    <w:rsid w:val="00A64FC2"/>
    <w:rsid w:val="00B50B5E"/>
    <w:rsid w:val="00B5370A"/>
    <w:rsid w:val="00C42DEB"/>
    <w:rsid w:val="00CA69FF"/>
    <w:rsid w:val="00CD319F"/>
    <w:rsid w:val="00DD5748"/>
    <w:rsid w:val="00DE601E"/>
    <w:rsid w:val="00E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F2D6A9B-A88D-498B-A12C-A9B59B0A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1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1C46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537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5C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B5CB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B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B5CBB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5361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0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50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9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2011-03-11T07:31:00Z</cp:lastPrinted>
  <dcterms:created xsi:type="dcterms:W3CDTF">2014-03-24T19:27:00Z</dcterms:created>
  <dcterms:modified xsi:type="dcterms:W3CDTF">2014-03-24T19:27:00Z</dcterms:modified>
</cp:coreProperties>
</file>