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sz w:val="24"/>
          <w:szCs w:val="24"/>
        </w:rPr>
        <w:t>Подписано в печать 01.07.96. Усл. печ. л. 1.1.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sz w:val="24"/>
          <w:szCs w:val="24"/>
        </w:rPr>
        <w:t>Формат 60</w:t>
      </w:r>
      <w:r>
        <w:rPr>
          <w:sz w:val="24"/>
          <w:szCs w:val="24"/>
        </w:rPr>
        <w:sym w:font="Symbol" w:char="F0B4"/>
      </w:r>
      <w:r>
        <w:rPr>
          <w:sz w:val="24"/>
          <w:szCs w:val="24"/>
        </w:rPr>
        <w:t>84 1/16. Печать офсетная. Тираж 100 экз. Заказ N 220.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sz w:val="24"/>
          <w:szCs w:val="24"/>
        </w:rPr>
        <w:t>Тип. ТОО "СЛАК"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sz w:val="24"/>
          <w:szCs w:val="24"/>
        </w:rPr>
        <w:t>На правах рукописи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b/>
          <w:bCs/>
          <w:caps/>
          <w:sz w:val="24"/>
          <w:szCs w:val="24"/>
        </w:rPr>
      </w:pPr>
      <w:r>
        <w:rPr>
          <w:b/>
          <w:bCs/>
          <w:caps/>
          <w:sz w:val="24"/>
          <w:szCs w:val="24"/>
        </w:rPr>
        <w:t xml:space="preserve">ГалустЯн 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Анна Николаевна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b/>
          <w:bCs/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b/>
          <w:bCs/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b/>
          <w:bCs/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ВЫЯВЛЕНИЕ АЛЛЕРГИЧЕСКОГО ВАРИАНТА 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ОСТРЫХ СТЕНОЗИРУЮЩИХ ЛАРИНГОТРАХЕОБРОНХИТОВ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ПРИ ОСТРЫХ РЕСПИРАТОРНЫХ ВИРУСНЫХ ИНФЕКЦИЯХ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У ДЕТЕЙ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rPr>
          <w:b/>
          <w:bCs/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sz w:val="24"/>
          <w:szCs w:val="24"/>
        </w:rPr>
        <w:t>14.00.10 - инфекционные болезни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sz w:val="24"/>
          <w:szCs w:val="24"/>
        </w:rPr>
        <w:t>АВТОРЕФЕРАТ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sz w:val="24"/>
          <w:szCs w:val="24"/>
        </w:rPr>
        <w:t>диссертации на соискание ученой степени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sz w:val="24"/>
          <w:szCs w:val="24"/>
        </w:rPr>
        <w:t>кандидата медицинских наук</w:t>
      </w:r>
    </w:p>
    <w:p w:rsidR="00DC4AC6" w:rsidRDefault="00DC4AC6">
      <w:pPr>
        <w:tabs>
          <w:tab w:val="left" w:pos="426"/>
          <w:tab w:val="left" w:pos="709"/>
          <w:tab w:val="left" w:pos="3402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Санкт-Петербург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1996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b/>
          <w:bCs/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b/>
          <w:bCs/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b/>
          <w:bCs/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ab/>
      </w:r>
      <w:r>
        <w:rPr>
          <w:sz w:val="24"/>
          <w:szCs w:val="24"/>
        </w:rPr>
        <w:t>Работа выполнена в Санкт-Петербургской государственной педиат-рической медицинской академии.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  <w:tab w:val="left" w:pos="3402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Научные руководители:</w:t>
      </w:r>
    </w:p>
    <w:p w:rsidR="00DC4AC6" w:rsidRDefault="009C21AE">
      <w:pPr>
        <w:tabs>
          <w:tab w:val="left" w:pos="426"/>
          <w:tab w:val="left" w:pos="709"/>
          <w:tab w:val="left" w:pos="3402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доктор медицинских наук, профессор </w:t>
      </w:r>
      <w:r>
        <w:rPr>
          <w:b/>
          <w:bCs/>
          <w:sz w:val="24"/>
          <w:szCs w:val="24"/>
        </w:rPr>
        <w:t>В.В.Юрьев,</w:t>
      </w:r>
    </w:p>
    <w:p w:rsidR="00DC4AC6" w:rsidRDefault="009C21AE">
      <w:pPr>
        <w:tabs>
          <w:tab w:val="left" w:pos="426"/>
          <w:tab w:val="left" w:pos="709"/>
          <w:tab w:val="left" w:pos="3402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кандидат медицинских наук, доцент </w:t>
      </w:r>
      <w:r>
        <w:rPr>
          <w:b/>
          <w:bCs/>
          <w:sz w:val="24"/>
          <w:szCs w:val="24"/>
        </w:rPr>
        <w:t>А.С.Мартынкин.</w:t>
      </w:r>
    </w:p>
    <w:p w:rsidR="00DC4AC6" w:rsidRDefault="00DC4AC6">
      <w:pPr>
        <w:tabs>
          <w:tab w:val="left" w:pos="426"/>
          <w:tab w:val="left" w:pos="709"/>
          <w:tab w:val="left" w:pos="3402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  <w:tab w:val="left" w:pos="3402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Научный консультант:</w:t>
      </w:r>
    </w:p>
    <w:p w:rsidR="00DC4AC6" w:rsidRDefault="009C21AE">
      <w:pPr>
        <w:tabs>
          <w:tab w:val="left" w:pos="426"/>
          <w:tab w:val="left" w:pos="709"/>
          <w:tab w:val="left" w:pos="3402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доктор медицинских наук, профессор </w:t>
      </w:r>
      <w:r>
        <w:rPr>
          <w:b/>
          <w:bCs/>
          <w:sz w:val="24"/>
          <w:szCs w:val="24"/>
        </w:rPr>
        <w:t>И.Б.Михайлов.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Официальные оппоненты: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right="-568"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доктор медицинских наук, профессор </w:t>
      </w:r>
      <w:r>
        <w:rPr>
          <w:b/>
          <w:bCs/>
          <w:sz w:val="24"/>
          <w:szCs w:val="24"/>
        </w:rPr>
        <w:t>Ю.В.Лобзин,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ab/>
        <w:t xml:space="preserve">доктор медицинских наук, профессор </w:t>
      </w:r>
      <w:r>
        <w:rPr>
          <w:b/>
          <w:bCs/>
          <w:sz w:val="24"/>
          <w:szCs w:val="24"/>
        </w:rPr>
        <w:t>В.П.Алферов.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b/>
          <w:bCs/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Ведущая организация: 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Научно-исследовательский институт детских инфекций МЗ и МП РФ.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Защита состоится "_____"_________________ 1996 г. в ____ часов на заседании диссертационного совета К 084.12.02 в Санкт-Петербург-ской государственной педиатрической медицинской академии (194100, Санкт-Петербург, ул. Литовская, 2).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С диссертацией можно ознакомиться в библиотеке Санкт-Петер-бургской государственной педиатрической медицинской академии.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Автореферат разослан "_____"_________________ 1996 г.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Ученый секретарь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диссертационного совета,</w:t>
      </w:r>
    </w:p>
    <w:p w:rsidR="00DC4AC6" w:rsidRDefault="009C21AE">
      <w:pPr>
        <w:tabs>
          <w:tab w:val="left" w:pos="426"/>
          <w:tab w:val="left" w:pos="709"/>
          <w:tab w:val="left" w:pos="4537"/>
        </w:tabs>
        <w:spacing w:line="240" w:lineRule="exact"/>
        <w:ind w:firstLine="567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ab/>
        <w:t>доцент</w:t>
      </w:r>
      <w:r>
        <w:rPr>
          <w:sz w:val="24"/>
          <w:szCs w:val="24"/>
        </w:rPr>
        <w:tab/>
      </w:r>
      <w:r>
        <w:rPr>
          <w:b/>
          <w:bCs/>
          <w:sz w:val="24"/>
          <w:szCs w:val="24"/>
        </w:rPr>
        <w:t>А.Я.Трубина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b/>
          <w:bCs/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ВВЕДЕНИЕ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bCs/>
          <w:sz w:val="24"/>
          <w:szCs w:val="24"/>
        </w:rPr>
        <w:t>Актуальность проблемы.</w:t>
      </w:r>
      <w:r>
        <w:rPr>
          <w:sz w:val="24"/>
          <w:szCs w:val="24"/>
        </w:rPr>
        <w:t xml:space="preserve"> Острые респираторные вирусные инфек-ции (ОРВИ) остаются самым массовым заболеванием детского возраста [Вельтищев Ю.Е., 1994]. Воздушно-капельный путь передачи, нестой-кость и строгая специфичность иммунитета при множестве серотипов возбудителей, отсутствие специфической профилактики, большое коли-чество инапарантных форм способствуют сохранению ведущего положе-ния ОРВИ в структуре инфекционной заболеваемости у детей. Важной особенностью течения ОРВИ у детей является частое развитие синдрома острого стенозирующего ларинготрахеита (ОСЛТ) и острого стенозиру-ющего ларинготрахеобронхита (ОСЛТБ) [Нисевич Н.И., Учайкин В.Ф., 1990]. Синдром ОСЛТ и ОСЛТБ - наиболее распространенная форма обструкции дыхательных путей у детей от 6 мес до 6 лет [Skolnik N., 1993], возникающая при ОРВИ любой этиологии, однако чаще всего при гриппе и парагриппе [Самойлов М.Н., 1992; Inglis A.F., 1993]. По данным разных авторов частота этого синдрома колеблется от 7,4% до 25% [Сергеева К.М. с соавт., 1979; Skolnik N.S., 1989]. Проблема ОСЛТ и ОСЛТБ занимает особое место в педиатрической практике вви-ду наблюдаемой тенденции к увеличению заболеваемости [Енин И.П., Соболь В.И., 1988; Прутовых Н.Н. с соавт., 1990; Cherry J.D., 1987], тя-жестью течения и высокой летальностью при декомпенсированных фор-мах. По данным С.Г.Чешик с соавт. (1987), летальность при декомпен-сированных формах колеблется от 9% до 33%, по данным З.В.Соко-ловской с соавт. (1991) - летальность в некоторых регионах достигает 4-8%, особенно при случаях, осложненных пневмонией. Столь высокие цифры летальности обусловлены полиэтиологичностью и сложностью патогенеза данного заболевания, большим числом осложнений и склон-ностью к рецидивированию.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Клинико-катамнестические наблюдения [Евхаритская З.В., Сидоро-ва Т.А., 1983; Поляк А.И. с соавт., 1987; Zach M. et al., 1981; Osvath P., 1994] показывают, что у 23-50% детей с рецидивирующим ОСЛТ         и ОСЛТБ впоследствии наблюдалась трансформация рецидивирующего стеноза гортани в хронические аллергические заболевания дыхательных путей. Это позволило авторам рассматривать рецидивирующие стенозы гортани как фактор высокого риска развития респираторных аллерго-зов. По данныи P.Koning (1978) дети, больные бронхиальной астмой, ча-ще имели в анамнезе явления ОСЛТ и ОСЛТБ, чем здоровые. H.Linde-mann (1993) считает, что рецидивирующая форма стеноза гортани не что иное,  как проявление гиперреактивности дыхательных путей с час-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той трансформацией в бронхиальную астму. И.Г.Корюкина (1992), М.Я.Студеникин (1992), Л.Ю.Гришкина (1995) на основании проведен-ных клинико-лабораторных исследований у детей с ОСЛТ и ОСЛТБ, включавших определение общего IgE и специфических IgE, содержания эозинофилов в назальном секрете делают вывод о существовании двух клинико-патогенетических вариантов ОСЛТ и ОСЛТБ: аллергического и инфекционно-воспалительного. 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Дифференциация указанных форм в периоде острого проявления обструктивного синдрома на 1-3-м году жизни имеет принципиальное значение для определения тактики неотложной помощи и организации мероприятий по профилактике формирования респираторных аллерго-зов в группе детей с ОСЛТ и ОСЛТБ [Алферов В.П. с соавт., 1989; Ко-рюкина И.Г., 1992; Студеникин М.Я., 1992; Гришкина Л.Ю., 1995; Cher-ry J.D., 1987; Cressman W.R., 1994].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bCs/>
          <w:sz w:val="24"/>
          <w:szCs w:val="24"/>
        </w:rPr>
        <w:t>Цель и задачи исследования.</w:t>
      </w:r>
      <w:r>
        <w:rPr>
          <w:sz w:val="24"/>
          <w:szCs w:val="24"/>
        </w:rPr>
        <w:t xml:space="preserve"> Целью настоящего исследования явилось определение возможности разделения острых стенозирующих ларинготрахеобронхитов при ОРВИ на 2 клинико-патогенетических ва-рианта: "аллергический" и "неаллергический" на основании клинико-ла-бораторных исследований и катамнестических наблюдений.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Для осуществления поставленной цели проводилось: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1.</w:t>
      </w:r>
      <w:r>
        <w:rPr>
          <w:sz w:val="24"/>
          <w:szCs w:val="24"/>
        </w:rPr>
        <w:tab/>
        <w:t>Изучение факторов риска и выделение прогностических призна-ков "аллергического" варианта ОСЛТ и ОСЛТБ при ОРВИ, доступных для определения в остром периоде заболевания.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2.</w:t>
      </w:r>
      <w:r>
        <w:rPr>
          <w:sz w:val="24"/>
          <w:szCs w:val="24"/>
        </w:rPr>
        <w:tab/>
        <w:t>Разработка колличественной прогностической семиотики "ал-лергического" варианта ОСЛТ и ОСЛТБ при ОРВИ, пригодной для ее формализованного вычислительного и машинного прогнозироования.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3.</w:t>
      </w:r>
      <w:r>
        <w:rPr>
          <w:sz w:val="24"/>
          <w:szCs w:val="24"/>
        </w:rPr>
        <w:tab/>
        <w:t>Разработка методики выявления среди детей с ОСЛТ и ОСЛТБ при ОРВИ больных с "аллергическим" вариантом заболевания и повы-шенным риском формирования респираторного аллергоза с использова-нием угрозометрического подхода, позволяющего при скрининге коли-чественно оценивать вероятность развития заболевания.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4.</w:t>
      </w:r>
      <w:r>
        <w:rPr>
          <w:sz w:val="24"/>
          <w:szCs w:val="24"/>
        </w:rPr>
        <w:tab/>
        <w:t>Создание дифференциально-диагностической таблицы (ФИБ) для выявления "аллергического" и "неаллергического" вариантов ОСЛТ и ОСЛТБ при ОРВИ в остром периоде заболевания.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5.</w:t>
      </w:r>
      <w:r>
        <w:rPr>
          <w:sz w:val="24"/>
          <w:szCs w:val="24"/>
        </w:rPr>
        <w:tab/>
        <w:t>Создание дифференциально-диагностических таблиц (ФИБ) для прогноза респираторных аллергозов у детей с ОСЛТ и ОСЛТБ при ОРВИ.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bCs/>
          <w:sz w:val="24"/>
          <w:szCs w:val="24"/>
        </w:rPr>
        <w:t>Научная новизна работы.</w:t>
      </w:r>
      <w:r>
        <w:rPr>
          <w:sz w:val="24"/>
          <w:szCs w:val="24"/>
        </w:rPr>
        <w:t xml:space="preserve"> Разработаны методические подходы для выделения "аллергических" и "неаллергических" вариантов ОСЛТ        и ОСЛТБ при ОРВИ  в остром периоде заболевания.  Показана возмож-</w:t>
      </w:r>
    </w:p>
    <w:p w:rsidR="00DC4AC6" w:rsidRDefault="00DC4AC6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тики неотложной терапии и смещения акцента терапии в сторону про-тивоаллергических веществ (антигистаминных, кетотифен, адреналин) как в острую, так и фазу репарации для предотвращения возможного формирования медикаментозной аллергии к составляющим компонентам стереотипной терапии.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3.</w:t>
      </w:r>
      <w:r>
        <w:rPr>
          <w:sz w:val="24"/>
          <w:szCs w:val="24"/>
        </w:rPr>
        <w:tab/>
        <w:t>Показана возможность создания вычислительных диагностиче-ских и прогностических таблиц с целью: 1) выявления "аллергического" варианта стенозирующего ларинготрахеита и ларинготрахеобронхита при ОРВИ в остром периоде заболевания (ФИБ-113-1); 2) выявления группы риска среди детей 1-3 лет с острыми стенозирующими ларинго-трахеитами и ларинготрахеобронхитами при ОРВИ по формированию респираторных аллергозов до 5-7 лет (ФИБ-113-2</w:t>
      </w:r>
      <w:r>
        <w:rPr>
          <w:position w:val="6"/>
          <w:sz w:val="24"/>
          <w:szCs w:val="24"/>
        </w:rPr>
        <w:t>а,б</w:t>
      </w:r>
      <w:r>
        <w:rPr>
          <w:sz w:val="24"/>
          <w:szCs w:val="24"/>
        </w:rPr>
        <w:t>).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4.</w:t>
      </w:r>
      <w:r>
        <w:rPr>
          <w:sz w:val="24"/>
          <w:szCs w:val="24"/>
        </w:rPr>
        <w:tab/>
        <w:t>Катамнестические наблюдения подтверждают эффективность диагностики "аллергических" вариантов острых стенозирующих ларин-готрахеитов при ОРВИ с помощью дифференциально-диагностических таблиц. ФИБ-113-1 обеспечивает правильную диагностику указанного варианта в 100% случаев, при частоте перестраховочных ошибок 22,6%. ФИБ-113-2</w:t>
      </w:r>
      <w:r>
        <w:rPr>
          <w:position w:val="6"/>
          <w:sz w:val="24"/>
          <w:szCs w:val="24"/>
        </w:rPr>
        <w:t>б</w:t>
      </w:r>
      <w:r>
        <w:rPr>
          <w:sz w:val="24"/>
          <w:szCs w:val="24"/>
        </w:rPr>
        <w:t xml:space="preserve"> обеспечивает правильный прогноз в 93,3% случаев при частоте опасных ошибок - 6,7%, перестраховочных ошибок - 25,8%. ФИБ-113-2</w:t>
      </w:r>
      <w:r>
        <w:rPr>
          <w:position w:val="6"/>
          <w:sz w:val="24"/>
          <w:szCs w:val="24"/>
        </w:rPr>
        <w:t>а</w:t>
      </w:r>
      <w:r>
        <w:rPr>
          <w:sz w:val="24"/>
          <w:szCs w:val="24"/>
        </w:rPr>
        <w:t xml:space="preserve"> обеспечивает правильный прогноз в 88,9% случаев при частоте опасных ошибок - 11,1%, перестраховочных ошибок - 11,1%.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5.</w:t>
      </w:r>
      <w:r>
        <w:rPr>
          <w:sz w:val="24"/>
          <w:szCs w:val="24"/>
        </w:rPr>
        <w:tab/>
        <w:t>Использование предложенных формализованных алгоритмов по-вышает медико-социальную эффективность специализированной аллер-гической помощи и создает экономических эффект за счет более обос-нованного выделения групп риска заданной численности, возможности профилактических мероприятий в максимально ранние сроки, своевре-менного и обоснованного направления детей к специалистам-аллерго-логам.</w:t>
      </w:r>
    </w:p>
    <w:p w:rsidR="00DC4AC6" w:rsidRDefault="00DC4AC6">
      <w:pPr>
        <w:tabs>
          <w:tab w:val="left" w:pos="426"/>
          <w:tab w:val="left" w:pos="709"/>
          <w:tab w:val="left" w:pos="1135"/>
        </w:tabs>
        <w:spacing w:line="120" w:lineRule="exact"/>
        <w:ind w:firstLine="567"/>
        <w:jc w:val="both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ПРАКТИЧЕСКИЕ РЕКОМЕНДАЦИИ</w:t>
      </w:r>
    </w:p>
    <w:p w:rsidR="00DC4AC6" w:rsidRDefault="00DC4AC6">
      <w:pPr>
        <w:tabs>
          <w:tab w:val="left" w:pos="426"/>
          <w:tab w:val="left" w:pos="709"/>
          <w:tab w:val="left" w:pos="1135"/>
        </w:tabs>
        <w:spacing w:line="120" w:lineRule="exact"/>
        <w:ind w:firstLine="567"/>
        <w:jc w:val="both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1.</w:t>
      </w:r>
      <w:r>
        <w:rPr>
          <w:sz w:val="24"/>
          <w:szCs w:val="24"/>
        </w:rPr>
        <w:tab/>
        <w:t>Для организации лечебного процесса в остром периоде стенози-рующих ларинготрахеитов и ларинготрахеобронхитов при ОРВИ реко-мендуется использовать дифференциально-диагностическую таблицу ФИБ-1 для выявления "аллергического" и "неаллергического" вариантов заболевания.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2.</w:t>
      </w:r>
      <w:r>
        <w:rPr>
          <w:sz w:val="24"/>
          <w:szCs w:val="24"/>
        </w:rPr>
        <w:tab/>
        <w:t>Для прогноза респираторных аллергозов у детей с острыми сте-нозирующими ларинготрахеитами и ларинготрахеобронхитами при ОРВИ рекомендуется использовать дифференциально-диагностические таблицы ФИБ-2</w:t>
      </w:r>
      <w:r>
        <w:rPr>
          <w:position w:val="6"/>
          <w:sz w:val="24"/>
          <w:szCs w:val="24"/>
        </w:rPr>
        <w:t>а,б</w:t>
      </w:r>
      <w:r>
        <w:rPr>
          <w:sz w:val="24"/>
          <w:szCs w:val="24"/>
        </w:rPr>
        <w:t>. При наличии возможности определения общего иммуноглобулина Е - ФИБ-2</w:t>
      </w:r>
      <w:r>
        <w:rPr>
          <w:position w:val="6"/>
          <w:sz w:val="24"/>
          <w:szCs w:val="24"/>
        </w:rPr>
        <w:t>а</w:t>
      </w:r>
      <w:r>
        <w:rPr>
          <w:sz w:val="24"/>
          <w:szCs w:val="24"/>
        </w:rPr>
        <w:t>,</w:t>
      </w:r>
      <w:r>
        <w:rPr>
          <w:position w:val="6"/>
          <w:sz w:val="24"/>
          <w:szCs w:val="24"/>
        </w:rPr>
        <w:t xml:space="preserve"> </w:t>
      </w:r>
      <w:r>
        <w:rPr>
          <w:sz w:val="24"/>
          <w:szCs w:val="24"/>
        </w:rPr>
        <w:t>при отсутствии - ФИБ-2</w:t>
      </w:r>
      <w:r>
        <w:rPr>
          <w:position w:val="6"/>
          <w:sz w:val="24"/>
          <w:szCs w:val="24"/>
        </w:rPr>
        <w:t>б</w:t>
      </w:r>
      <w:r>
        <w:rPr>
          <w:sz w:val="24"/>
          <w:szCs w:val="24"/>
        </w:rPr>
        <w:t>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sz w:val="24"/>
          <w:szCs w:val="24"/>
        </w:rPr>
        <w:t>- 20 -</w:t>
      </w:r>
    </w:p>
    <w:p w:rsidR="00DC4AC6" w:rsidRDefault="00DC4AC6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right"/>
        <w:rPr>
          <w:sz w:val="24"/>
          <w:szCs w:val="24"/>
        </w:rPr>
      </w:pPr>
      <w:r>
        <w:rPr>
          <w:sz w:val="24"/>
          <w:szCs w:val="24"/>
        </w:rPr>
        <w:t>Т а б л и ц а  7</w:t>
      </w: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Результаты проверки диагностической и прогностической таблицы</w:t>
      </w: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на группе испытания</w:t>
      </w:r>
    </w:p>
    <w:p w:rsidR="00DC4AC6" w:rsidRDefault="00DC4AC6">
      <w:pPr>
        <w:tabs>
          <w:tab w:val="left" w:pos="426"/>
          <w:tab w:val="left" w:pos="709"/>
          <w:tab w:val="left" w:pos="1134"/>
        </w:tabs>
        <w:spacing w:line="120" w:lineRule="exact"/>
        <w:ind w:firstLine="567"/>
        <w:jc w:val="center"/>
        <w:rPr>
          <w:sz w:val="24"/>
          <w:szCs w:val="24"/>
        </w:rPr>
      </w:pPr>
    </w:p>
    <w:tbl>
      <w:tblPr>
        <w:tblW w:w="0" w:type="auto"/>
        <w:tblInd w:w="4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1474"/>
        <w:gridCol w:w="1134"/>
        <w:gridCol w:w="736"/>
        <w:gridCol w:w="512"/>
        <w:gridCol w:w="624"/>
        <w:gridCol w:w="44"/>
        <w:gridCol w:w="692"/>
        <w:gridCol w:w="512"/>
        <w:gridCol w:w="72"/>
        <w:gridCol w:w="40"/>
        <w:gridCol w:w="8890"/>
        <w:gridCol w:w="132"/>
      </w:tblGrid>
      <w:tr w:rsidR="000C17EB" w:rsidTr="000C17EB">
        <w:trPr>
          <w:cantSplit/>
        </w:trPr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Состояние</w:t>
            </w:r>
          </w:p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катамнезу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Вариант таблицы</w:t>
            </w:r>
          </w:p>
        </w:tc>
        <w:tc>
          <w:tcPr>
            <w:tcW w:w="191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Переоценка</w:t>
            </w: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Недооценка</w:t>
            </w:r>
          </w:p>
          <w:p w:rsidR="00DC4AC6" w:rsidRDefault="00DC4AC6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</w:tc>
        <w:tc>
          <w:tcPr>
            <w:tcW w:w="906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Правильный диагноз</w:t>
            </w:r>
          </w:p>
        </w:tc>
      </w:tr>
      <w:tr w:rsidR="000C17EB" w:rsidTr="000C17EB">
        <w:trPr>
          <w:gridAfter w:val="1"/>
          <w:wAfter w:w="132" w:type="dxa"/>
          <w:cantSplit/>
        </w:trPr>
        <w:tc>
          <w:tcPr>
            <w:tcW w:w="1474" w:type="dxa"/>
            <w:tcBorders>
              <w:top w:val="nil"/>
              <w:left w:val="single" w:sz="6" w:space="0" w:color="auto"/>
              <w:bottom w:val="double" w:sz="6" w:space="0" w:color="auto"/>
              <w:right w:val="nil"/>
            </w:tcBorders>
          </w:tcPr>
          <w:p w:rsidR="00DC4AC6" w:rsidRDefault="00DC4AC6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DC4AC6" w:rsidRDefault="00DC4AC6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</w:t>
            </w: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624" w:type="dxa"/>
            <w:tcBorders>
              <w:top w:val="nil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</w:t>
            </w:r>
          </w:p>
        </w:tc>
        <w:tc>
          <w:tcPr>
            <w:tcW w:w="736" w:type="dxa"/>
            <w:gridSpan w:val="2"/>
            <w:tcBorders>
              <w:top w:val="nil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</w:t>
            </w:r>
          </w:p>
        </w:tc>
        <w:tc>
          <w:tcPr>
            <w:tcW w:w="9002" w:type="dxa"/>
            <w:gridSpan w:val="3"/>
            <w:tcBorders>
              <w:top w:val="nil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</w:tr>
      <w:tr w:rsidR="000C17EB" w:rsidTr="000C17EB">
        <w:trPr>
          <w:gridAfter w:val="1"/>
          <w:wAfter w:w="132" w:type="dxa"/>
          <w:cantSplit/>
        </w:trPr>
        <w:tc>
          <w:tcPr>
            <w:tcW w:w="1474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Дети после ОРВИ, ОСЛТ, ОСЛТБ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DC4AC6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</w:p>
          <w:p w:rsidR="00DC4AC6" w:rsidRDefault="00DC4AC6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ФИБ-113-1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22,6</w:t>
            </w:r>
          </w:p>
        </w:tc>
        <w:tc>
          <w:tcPr>
            <w:tcW w:w="624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36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24" w:type="dxa"/>
            <w:gridSpan w:val="3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88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pct10" w:color="auto" w:fill="auto"/>
          </w:tcPr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77,4</w:t>
            </w:r>
          </w:p>
        </w:tc>
      </w:tr>
      <w:tr w:rsidR="000C17EB" w:rsidTr="000C17EB">
        <w:trPr>
          <w:gridAfter w:val="1"/>
          <w:wAfter w:w="132" w:type="dxa"/>
          <w:cantSplit/>
        </w:trPr>
        <w:tc>
          <w:tcPr>
            <w:tcW w:w="1474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не заболевшие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ФИБ-113-2</w:t>
            </w:r>
            <w:r>
              <w:rPr>
                <w:position w:val="4"/>
                <w:sz w:val="24"/>
                <w:szCs w:val="24"/>
              </w:rPr>
              <w:t>а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11,1</w:t>
            </w:r>
          </w:p>
        </w:tc>
        <w:tc>
          <w:tcPr>
            <w:tcW w:w="624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36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24" w:type="dxa"/>
            <w:gridSpan w:val="3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88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88,9</w:t>
            </w:r>
          </w:p>
        </w:tc>
      </w:tr>
      <w:tr w:rsidR="000C17EB" w:rsidTr="000C17EB">
        <w:trPr>
          <w:gridAfter w:val="1"/>
          <w:wAfter w:w="132" w:type="dxa"/>
          <w:cantSplit/>
        </w:trPr>
        <w:tc>
          <w:tcPr>
            <w:tcW w:w="1474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через год РА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ФИБ-113-2</w:t>
            </w:r>
            <w:r>
              <w:rPr>
                <w:position w:val="4"/>
                <w:sz w:val="24"/>
                <w:szCs w:val="24"/>
              </w:rPr>
              <w:t>б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25,8</w:t>
            </w:r>
          </w:p>
        </w:tc>
        <w:tc>
          <w:tcPr>
            <w:tcW w:w="624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36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</w:tc>
        <w:tc>
          <w:tcPr>
            <w:tcW w:w="624" w:type="dxa"/>
            <w:gridSpan w:val="3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88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74,2</w:t>
            </w:r>
          </w:p>
        </w:tc>
      </w:tr>
      <w:tr w:rsidR="000C17EB" w:rsidTr="000C17EB">
        <w:trPr>
          <w:gridAfter w:val="1"/>
          <w:wAfter w:w="132" w:type="dxa"/>
          <w:cantSplit/>
        </w:trPr>
        <w:tc>
          <w:tcPr>
            <w:tcW w:w="147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 после ОРВИ, ОСЛТ, ОСЛТБ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DC4AC6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</w:p>
          <w:p w:rsidR="00DC4AC6" w:rsidRDefault="00DC4AC6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ФИБ-113-1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2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36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24" w:type="dxa"/>
            <w:gridSpan w:val="3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88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</w:tr>
      <w:tr w:rsidR="000C17EB" w:rsidTr="000C17EB">
        <w:trPr>
          <w:gridAfter w:val="1"/>
          <w:wAfter w:w="132" w:type="dxa"/>
          <w:cantSplit/>
        </w:trPr>
        <w:tc>
          <w:tcPr>
            <w:tcW w:w="147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заболевшие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ФИБ-113-2</w:t>
            </w:r>
            <w:r>
              <w:rPr>
                <w:position w:val="4"/>
                <w:sz w:val="24"/>
                <w:szCs w:val="24"/>
              </w:rPr>
              <w:t>а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2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36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11,1</w:t>
            </w:r>
          </w:p>
        </w:tc>
        <w:tc>
          <w:tcPr>
            <w:tcW w:w="624" w:type="dxa"/>
            <w:gridSpan w:val="3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8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88,9</w:t>
            </w:r>
          </w:p>
        </w:tc>
      </w:tr>
      <w:tr w:rsidR="000C17EB" w:rsidTr="000C17EB">
        <w:trPr>
          <w:gridAfter w:val="1"/>
          <w:wAfter w:w="132" w:type="dxa"/>
          <w:cantSplit/>
        </w:trPr>
        <w:tc>
          <w:tcPr>
            <w:tcW w:w="1474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через год РА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ФИБ-113-2</w:t>
            </w:r>
            <w:r>
              <w:rPr>
                <w:position w:val="4"/>
                <w:sz w:val="24"/>
                <w:szCs w:val="24"/>
              </w:rPr>
              <w:t>б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24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36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6,7</w:t>
            </w:r>
          </w:p>
        </w:tc>
        <w:tc>
          <w:tcPr>
            <w:tcW w:w="624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88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93,3</w:t>
            </w:r>
          </w:p>
        </w:tc>
      </w:tr>
    </w:tbl>
    <w:p w:rsidR="00DC4AC6" w:rsidRDefault="00DC4AC6">
      <w:pPr>
        <w:tabs>
          <w:tab w:val="left" w:pos="426"/>
          <w:tab w:val="left" w:pos="709"/>
          <w:tab w:val="left" w:pos="1134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Опыт эксплуатации ФИБов показал, что они позволяют не только дифференцировать клинико-патогенетический вариант ОСЛТ и ОСЛТБ при ОРВИ и, следовательно, оптимизировать терапию в остром периоде, но и формировать группу риска по респираторным аллергозам при по-явлении первых признаков заболевания.</w:t>
      </w: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Простота и доступность алгоритмов, немногочисленность призна-ков позволяет использовать алгоритмы не только в стационаре, но        и в условиях поликлиники. Целенаправленный отбор детей, являющихся группой риска по формированию РА, их своевременное направление    к врачу-аллергологу поможет избежать не только опасных, но и пере-страховочных ошибок, осложняющих работу врача-специалиста.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ВЫВОДЫ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1.</w:t>
      </w:r>
      <w:r>
        <w:rPr>
          <w:sz w:val="24"/>
          <w:szCs w:val="24"/>
        </w:rPr>
        <w:tab/>
        <w:t>Анализ данных катамнестического наблюдения и клинико-лабо-раторных тестов позволил выделить две клинико-патогенетические фор-мы острых стенозирующих ларинготрахеитов при ОРВИ: "неаллергиче-скую" (66,4%) - с благоприятным прогнозом и "аллергическую" (33,6%) - с исходом в хронические аллергические поражения респираторного тракта.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2.</w:t>
      </w:r>
      <w:r>
        <w:rPr>
          <w:sz w:val="24"/>
          <w:szCs w:val="24"/>
        </w:rPr>
        <w:tab/>
        <w:t>Дифференциация этих форм в остром периоде заболевания на 1-3-м году жизни  имеет принципиальное значение для определения так-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  <w:lang w:val="en-US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ность прогнозирования респираторного аллергоза у детей с ОСЛТ        и ОСЛТБ при ОРВИ.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bCs/>
          <w:sz w:val="24"/>
          <w:szCs w:val="24"/>
        </w:rPr>
        <w:t>Практическая значимость работы.</w:t>
      </w:r>
      <w:r>
        <w:rPr>
          <w:sz w:val="24"/>
          <w:szCs w:val="24"/>
        </w:rPr>
        <w:t xml:space="preserve"> Для дифференциации "аллерги-ческих" и "неаллергических" вариантов ОСЛТ и ОСЛТБ предложены дифференциально-диагностические таблицы (ФИБы), которые работают с высокой эффективностью как для диагностики, так и для прогноза.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bCs/>
          <w:sz w:val="24"/>
          <w:szCs w:val="24"/>
        </w:rPr>
        <w:t xml:space="preserve">Апробация работы. </w:t>
      </w:r>
      <w:r>
        <w:rPr>
          <w:sz w:val="24"/>
          <w:szCs w:val="24"/>
        </w:rPr>
        <w:t>Основные положения работы доложены:</w:t>
      </w: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ab/>
        <w:t>на республиканской научной конференции "Вирусные инфек-ции у детей" (Ленинград, 9-11 апреля 1991 г.);</w:t>
      </w: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ab/>
        <w:t>на заседании научного общества инфекционистов г. Ленинграда;</w:t>
      </w: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ab/>
        <w:t>на заседаниях кафедры инфекционных болезней у детей СПбГПМА.</w:t>
      </w: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По материалам диссертации опубликовано 3 научные статьи. Ре-зультаты работы внедрены на специализированном отделении ларинго-трахеитов в детской городской больнице N3. Результаты работы исполь-зуются в учебном процессе при преподавании курса аллергологии на факультете усовершенствования врачей по аллергологии СПбГПМА.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ab/>
        <w:t>Положения, выносимые на защиту: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1.</w:t>
      </w:r>
      <w:r>
        <w:rPr>
          <w:sz w:val="24"/>
          <w:szCs w:val="24"/>
        </w:rPr>
        <w:tab/>
        <w:t xml:space="preserve">В клинике ОСЛТ и ОСЛТБ при ОРВИ необходимо выделять    2 клинико-патогенетических варианта - "аллергический" и "неаллерги-ческий", встречающиеся соответственно у 33,6% и 63,4% больных. 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2.</w:t>
      </w:r>
      <w:r>
        <w:rPr>
          <w:sz w:val="24"/>
          <w:szCs w:val="24"/>
        </w:rPr>
        <w:tab/>
        <w:t>По данным катамнестического наблюдения клинику респиратор-ного аллергоза формируют 33,6% детей, перенесших ОСЛТ и ОСЛТБ при ОРВИ, при этом с рецидивирующей формой ОСЛТ и ОСЛТБ - 55,9%, с первичной и вторичной - 22%.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3.</w:t>
      </w:r>
      <w:r>
        <w:rPr>
          <w:sz w:val="24"/>
          <w:szCs w:val="24"/>
        </w:rPr>
        <w:tab/>
        <w:t>Показана принципиальная возможность использования методов вычислительной диагностики для дифференцировки и прогноза "аллер-гического" варианта ОСЛТ и ОСЛТБ при ОРВИ.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bCs/>
          <w:sz w:val="24"/>
          <w:szCs w:val="24"/>
        </w:rPr>
        <w:t>Объем и структура диссертации.</w:t>
      </w:r>
      <w:r>
        <w:rPr>
          <w:sz w:val="24"/>
          <w:szCs w:val="24"/>
        </w:rPr>
        <w:t xml:space="preserve"> Диссертация состоит из введения, глав, заключения, выводов и приложения. Изложена на    страницах машинописного текста, содержит 103 таблицы и 10 рисунков. Список литературы включает 138 отечественных и 118 зарубежных работ. При-ложения к диссертации выполнены на 150 страницах.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bCs/>
          <w:sz w:val="24"/>
          <w:szCs w:val="24"/>
        </w:rPr>
        <w:t>Собственные данные.</w:t>
      </w:r>
      <w:r>
        <w:rPr>
          <w:sz w:val="24"/>
          <w:szCs w:val="24"/>
        </w:rPr>
        <w:t xml:space="preserve"> Нами проведено клинико-лабораторное об-следование 189 детей в возрасте от 6 мес до 3 лет, госпитализированных в специализированное отделение ДГБ N3 г. Санкт-Петербурга с диагно-зом: ОРВИ, ОСЛТ, ОСЛТБ. Диагноз ОРВИ верифицирован клинически, серологически и методом прямой иммунофлюоресценции. Изучен катам-нез у 101 из них через 5 лет после выписки из стационара. Они соста-вили основную группу или группу обучения.   88 детей составили группу 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  <w:lang w:val="en-US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испытания. У 46 из них был изучен катамнез спустя год после госпита-лизации. В группу проверки вошли 57 детей, у которых катамнез изучен через 5 лет после пребывания в ДГБ N4 с диагнозом ОРВИ, ОСЛТ, ОСЛТБ (табл. 1). Основные моменты методики обследования включали: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1)</w:t>
      </w:r>
      <w:r>
        <w:rPr>
          <w:sz w:val="24"/>
          <w:szCs w:val="24"/>
        </w:rPr>
        <w:tab/>
        <w:t>разработку специальной "карты исследования", содержащей 86 пунктов, отражающих анамнестические данные родителей и ребенка, особенности течения заболевания, данные лабораторных исследований  и проведенной терапии;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2)</w:t>
      </w:r>
      <w:r>
        <w:rPr>
          <w:sz w:val="24"/>
          <w:szCs w:val="24"/>
        </w:rPr>
        <w:tab/>
        <w:t>аллергообследование (сбор аллергоанамнеза с учетом исследова-тельской карты, предложенной А.Д.Зиссельсоном (1985)), постановка скарификационных кожных и эндоназальных проб с неинфекционными аллергенами, ингаляционные провокационные пробы с гистамином       и ацетилхолином, пикфлоуметрия;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3)</w:t>
      </w:r>
      <w:r>
        <w:rPr>
          <w:sz w:val="24"/>
          <w:szCs w:val="24"/>
        </w:rPr>
        <w:tab/>
        <w:t>определение содержания общего иммуноглобулина Е в сыво-ротке крови методом ИФА и IgE-PRIST;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4)</w:t>
      </w:r>
      <w:r>
        <w:rPr>
          <w:sz w:val="24"/>
          <w:szCs w:val="24"/>
        </w:rPr>
        <w:tab/>
        <w:t>широкое использование методов многомерного статистического анализа для построения правил прогнозирования;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5)</w:t>
      </w:r>
      <w:r>
        <w:rPr>
          <w:sz w:val="24"/>
          <w:szCs w:val="24"/>
        </w:rPr>
        <w:tab/>
        <w:t>проверки полученных результатов на независимой экзаменаци-онной выборке.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9C21AE">
      <w:pPr>
        <w:tabs>
          <w:tab w:val="left" w:pos="851"/>
          <w:tab w:val="left" w:pos="1135"/>
          <w:tab w:val="left" w:pos="1276"/>
        </w:tabs>
        <w:ind w:firstLine="567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Т а б л и ц а  1 </w:t>
      </w:r>
    </w:p>
    <w:p w:rsidR="00DC4AC6" w:rsidRDefault="009C21AE">
      <w:pPr>
        <w:tabs>
          <w:tab w:val="left" w:pos="851"/>
          <w:tab w:val="left" w:pos="1135"/>
          <w:tab w:val="left" w:pos="1276"/>
        </w:tabs>
        <w:ind w:firstLine="567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Количество обследованных детей и проведенных исследований </w:t>
      </w:r>
    </w:p>
    <w:p w:rsidR="00DC4AC6" w:rsidRDefault="00DC4AC6">
      <w:pPr>
        <w:tabs>
          <w:tab w:val="left" w:pos="851"/>
          <w:tab w:val="left" w:pos="1134"/>
          <w:tab w:val="left" w:pos="1276"/>
        </w:tabs>
        <w:ind w:firstLine="567"/>
        <w:jc w:val="center"/>
        <w:rPr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4"/>
        <w:gridCol w:w="1245"/>
        <w:gridCol w:w="1307"/>
        <w:gridCol w:w="992"/>
        <w:gridCol w:w="1533"/>
        <w:gridCol w:w="3826"/>
      </w:tblGrid>
      <w:tr w:rsidR="00DC4AC6">
        <w:trPr>
          <w:cantSplit/>
          <w:jc w:val="center"/>
        </w:trPr>
        <w:tc>
          <w:tcPr>
            <w:tcW w:w="369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Группы</w:t>
            </w:r>
          </w:p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обследованных детей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верифи-цирован-ным диаг-нозом РА</w:t>
            </w:r>
          </w:p>
        </w:tc>
        <w:tc>
          <w:tcPr>
            <w:tcW w:w="13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Здоровые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Группа "проверки"</w:t>
            </w:r>
          </w:p>
        </w:tc>
        <w:tc>
          <w:tcPr>
            <w:tcW w:w="15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Группа "испытания"</w:t>
            </w:r>
          </w:p>
        </w:tc>
        <w:tc>
          <w:tcPr>
            <w:tcW w:w="38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</w:tr>
      <w:tr w:rsidR="00DC4AC6">
        <w:trPr>
          <w:cantSplit/>
          <w:jc w:val="center"/>
        </w:trPr>
        <w:tc>
          <w:tcPr>
            <w:tcW w:w="3694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детей в группе</w:t>
            </w:r>
          </w:p>
        </w:tc>
        <w:tc>
          <w:tcPr>
            <w:tcW w:w="124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130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</w:tc>
        <w:tc>
          <w:tcPr>
            <w:tcW w:w="992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</w:t>
            </w:r>
          </w:p>
        </w:tc>
        <w:tc>
          <w:tcPr>
            <w:tcW w:w="1533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</w:t>
            </w:r>
          </w:p>
        </w:tc>
        <w:tc>
          <w:tcPr>
            <w:tcW w:w="3826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246</w:t>
            </w:r>
          </w:p>
        </w:tc>
      </w:tr>
      <w:tr w:rsidR="00DC4AC6">
        <w:trPr>
          <w:cantSplit/>
          <w:jc w:val="center"/>
        </w:trPr>
        <w:tc>
          <w:tcPr>
            <w:tcW w:w="3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Сбор аллергоанамнеза</w:t>
            </w:r>
          </w:p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 заполнения ФИБ-113 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DC4AC6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1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DC4AC6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DC4AC6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</w:t>
            </w:r>
          </w:p>
        </w:tc>
        <w:tc>
          <w:tcPr>
            <w:tcW w:w="1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DC4AC6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</w:p>
        </w:tc>
        <w:tc>
          <w:tcPr>
            <w:tcW w:w="3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DC4AC6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204</w:t>
            </w:r>
          </w:p>
        </w:tc>
      </w:tr>
      <w:tr w:rsidR="00DC4AC6">
        <w:trPr>
          <w:cantSplit/>
          <w:jc w:val="center"/>
        </w:trPr>
        <w:tc>
          <w:tcPr>
            <w:tcW w:w="3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Аллергообследование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1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</w:t>
            </w:r>
          </w:p>
        </w:tc>
      </w:tr>
      <w:tr w:rsidR="00DC4AC6">
        <w:trPr>
          <w:cantSplit/>
          <w:jc w:val="center"/>
        </w:trPr>
        <w:tc>
          <w:tcPr>
            <w:tcW w:w="3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СКК с неинфекционными аллергенами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DC4AC6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1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DC4AC6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DC4AC6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DC4AC6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</w:tr>
      <w:tr w:rsidR="00DC4AC6">
        <w:trPr>
          <w:cantSplit/>
          <w:jc w:val="center"/>
        </w:trPr>
        <w:tc>
          <w:tcPr>
            <w:tcW w:w="3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ИПП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DC4AC6">
        <w:trPr>
          <w:cantSplit/>
          <w:jc w:val="center"/>
        </w:trPr>
        <w:tc>
          <w:tcPr>
            <w:tcW w:w="3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Дилатационные пробы</w:t>
            </w:r>
          </w:p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 </w:t>
            </w:r>
            <w:r>
              <w:rPr>
                <w:sz w:val="24"/>
                <w:szCs w:val="24"/>
              </w:rPr>
              <w:t>-миметиками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DC4AC6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DC4AC6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DC4AC6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DC4AC6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DC4AC6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DC4AC6">
        <w:trPr>
          <w:cantSplit/>
          <w:jc w:val="center"/>
        </w:trPr>
        <w:tc>
          <w:tcPr>
            <w:tcW w:w="3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Определение общего IgE</w:t>
            </w:r>
          </w:p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плазме крови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DC4AC6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1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DC4AC6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DC4AC6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DC4AC6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3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DC4AC6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851"/>
                <w:tab w:val="left" w:pos="1134"/>
                <w:tab w:val="left" w:pos="1276"/>
              </w:tabs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</w:tr>
    </w:tbl>
    <w:p w:rsidR="00DC4AC6" w:rsidRDefault="00DC4AC6">
      <w:pPr>
        <w:tabs>
          <w:tab w:val="left" w:pos="426"/>
          <w:tab w:val="left" w:pos="709"/>
        </w:tabs>
        <w:ind w:firstLine="567"/>
        <w:jc w:val="both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Острый период ОСЛТ и ОСЛТБ при ОРВИ был изучен у 189 де-тей, находившихся на стационарном лечении в отделении ларинготра-хеитов ДГБ N3.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sz w:val="24"/>
          <w:szCs w:val="24"/>
        </w:rPr>
        <w:t>Т а б л и ц а  5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Результаты проверки диагностической и прогностической таблицы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на группе обучения</w:t>
      </w:r>
    </w:p>
    <w:p w:rsidR="00DC4AC6" w:rsidRDefault="00DC4AC6">
      <w:pPr>
        <w:tabs>
          <w:tab w:val="left" w:pos="426"/>
          <w:tab w:val="left" w:pos="709"/>
          <w:tab w:val="left" w:pos="1134"/>
        </w:tabs>
        <w:spacing w:line="120" w:lineRule="exact"/>
        <w:ind w:firstLine="567"/>
        <w:jc w:val="center"/>
        <w:rPr>
          <w:sz w:val="24"/>
          <w:szCs w:val="24"/>
        </w:rPr>
      </w:pPr>
    </w:p>
    <w:tbl>
      <w:tblPr>
        <w:tblW w:w="0" w:type="auto"/>
        <w:tblInd w:w="4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1304"/>
        <w:gridCol w:w="1304"/>
        <w:gridCol w:w="736"/>
        <w:gridCol w:w="512"/>
        <w:gridCol w:w="224"/>
        <w:gridCol w:w="400"/>
        <w:gridCol w:w="736"/>
        <w:gridCol w:w="112"/>
        <w:gridCol w:w="400"/>
        <w:gridCol w:w="112"/>
        <w:gridCol w:w="7756"/>
        <w:gridCol w:w="132"/>
      </w:tblGrid>
      <w:tr w:rsidR="000C17EB" w:rsidTr="000C17EB">
        <w:trPr>
          <w:cantSplit/>
        </w:trPr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Состояние</w:t>
            </w:r>
          </w:p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катамнезу</w:t>
            </w:r>
          </w:p>
        </w:tc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Вариант таблицы</w:t>
            </w:r>
          </w:p>
        </w:tc>
        <w:tc>
          <w:tcPr>
            <w:tcW w:w="14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Переоценка</w:t>
            </w:r>
          </w:p>
        </w:tc>
        <w:tc>
          <w:tcPr>
            <w:tcW w:w="124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Недооценка</w:t>
            </w:r>
          </w:p>
        </w:tc>
        <w:tc>
          <w:tcPr>
            <w:tcW w:w="840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Правильный диагноз</w:t>
            </w:r>
          </w:p>
        </w:tc>
      </w:tr>
      <w:tr w:rsidR="000C17EB" w:rsidTr="000C17EB">
        <w:trPr>
          <w:gridAfter w:val="1"/>
          <w:wAfter w:w="132" w:type="dxa"/>
          <w:cantSplit/>
        </w:trPr>
        <w:tc>
          <w:tcPr>
            <w:tcW w:w="1304" w:type="dxa"/>
            <w:tcBorders>
              <w:top w:val="nil"/>
              <w:left w:val="single" w:sz="6" w:space="0" w:color="auto"/>
              <w:bottom w:val="double" w:sz="6" w:space="0" w:color="auto"/>
              <w:right w:val="nil"/>
            </w:tcBorders>
          </w:tcPr>
          <w:p w:rsidR="00DC4AC6" w:rsidRDefault="00DC4AC6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nil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DC4AC6" w:rsidRDefault="00DC4AC6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</w:t>
            </w: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624" w:type="dxa"/>
            <w:gridSpan w:val="2"/>
            <w:tcBorders>
              <w:top w:val="nil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512" w:type="dxa"/>
            <w:gridSpan w:val="2"/>
            <w:tcBorders>
              <w:top w:val="nil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</w:t>
            </w:r>
          </w:p>
        </w:tc>
        <w:tc>
          <w:tcPr>
            <w:tcW w:w="7868" w:type="dxa"/>
            <w:gridSpan w:val="2"/>
            <w:tcBorders>
              <w:top w:val="nil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</w:tr>
      <w:tr w:rsidR="000C17EB" w:rsidTr="000C17EB">
        <w:trPr>
          <w:gridAfter w:val="1"/>
          <w:wAfter w:w="132" w:type="dxa"/>
          <w:cantSplit/>
        </w:trPr>
        <w:tc>
          <w:tcPr>
            <w:tcW w:w="1304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Группа </w:t>
            </w:r>
          </w:p>
        </w:tc>
        <w:tc>
          <w:tcPr>
            <w:tcW w:w="1304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ФИБ-113-1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13,43</w:t>
            </w:r>
          </w:p>
        </w:tc>
        <w:tc>
          <w:tcPr>
            <w:tcW w:w="624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24" w:type="dxa"/>
            <w:gridSpan w:val="3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  <w:tc>
          <w:tcPr>
            <w:tcW w:w="77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86,57</w:t>
            </w:r>
          </w:p>
        </w:tc>
      </w:tr>
      <w:tr w:rsidR="000C17EB" w:rsidTr="000C17EB">
        <w:trPr>
          <w:gridAfter w:val="1"/>
          <w:wAfter w:w="132" w:type="dxa"/>
          <w:cantSplit/>
        </w:trPr>
        <w:tc>
          <w:tcPr>
            <w:tcW w:w="1304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"здоровых"</w:t>
            </w:r>
          </w:p>
        </w:tc>
        <w:tc>
          <w:tcPr>
            <w:tcW w:w="1304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ФИБ-113-2</w:t>
            </w:r>
            <w:r>
              <w:rPr>
                <w:position w:val="6"/>
                <w:sz w:val="24"/>
                <w:szCs w:val="24"/>
              </w:rPr>
              <w:t>а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14,29</w:t>
            </w:r>
          </w:p>
        </w:tc>
        <w:tc>
          <w:tcPr>
            <w:tcW w:w="624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24" w:type="dxa"/>
            <w:gridSpan w:val="3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77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85,71</w:t>
            </w:r>
          </w:p>
        </w:tc>
      </w:tr>
      <w:tr w:rsidR="000C17EB" w:rsidTr="000C17EB">
        <w:trPr>
          <w:gridAfter w:val="1"/>
          <w:wAfter w:w="132" w:type="dxa"/>
          <w:cantSplit/>
        </w:trPr>
        <w:tc>
          <w:tcPr>
            <w:tcW w:w="1304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DC4AC6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ФИБ-113-2</w:t>
            </w:r>
            <w:r>
              <w:rPr>
                <w:position w:val="6"/>
                <w:sz w:val="24"/>
                <w:szCs w:val="24"/>
              </w:rPr>
              <w:t>б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9,0</w:t>
            </w:r>
          </w:p>
        </w:tc>
        <w:tc>
          <w:tcPr>
            <w:tcW w:w="624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24" w:type="dxa"/>
            <w:gridSpan w:val="3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</w:t>
            </w:r>
          </w:p>
        </w:tc>
        <w:tc>
          <w:tcPr>
            <w:tcW w:w="77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91,0</w:t>
            </w:r>
          </w:p>
        </w:tc>
      </w:tr>
      <w:tr w:rsidR="000C17EB" w:rsidTr="000C17EB">
        <w:trPr>
          <w:gridAfter w:val="1"/>
          <w:wAfter w:w="132" w:type="dxa"/>
          <w:cantSplit/>
        </w:trPr>
        <w:tc>
          <w:tcPr>
            <w:tcW w:w="130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Группа РА</w:t>
            </w:r>
          </w:p>
        </w:tc>
        <w:tc>
          <w:tcPr>
            <w:tcW w:w="130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ФИБ-113-1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24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2,94</w:t>
            </w:r>
          </w:p>
        </w:tc>
        <w:tc>
          <w:tcPr>
            <w:tcW w:w="624" w:type="dxa"/>
            <w:gridSpan w:val="3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77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97,06</w:t>
            </w:r>
          </w:p>
        </w:tc>
      </w:tr>
      <w:tr w:rsidR="000C17EB" w:rsidTr="000C17EB">
        <w:trPr>
          <w:gridAfter w:val="1"/>
          <w:wAfter w:w="132" w:type="dxa"/>
          <w:cantSplit/>
        </w:trPr>
        <w:tc>
          <w:tcPr>
            <w:tcW w:w="130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DC4AC6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ФИБ-113-2</w:t>
            </w:r>
            <w:r>
              <w:rPr>
                <w:position w:val="6"/>
                <w:sz w:val="24"/>
                <w:szCs w:val="24"/>
              </w:rPr>
              <w:t>а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24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24" w:type="dxa"/>
            <w:gridSpan w:val="3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77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</w:tr>
      <w:tr w:rsidR="000C17EB" w:rsidTr="000C17EB">
        <w:trPr>
          <w:gridAfter w:val="1"/>
          <w:wAfter w:w="132" w:type="dxa"/>
          <w:cantSplit/>
        </w:trPr>
        <w:tc>
          <w:tcPr>
            <w:tcW w:w="1304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DC4AC6" w:rsidRDefault="00DC4AC6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ФИБ-113-2</w:t>
            </w:r>
            <w:r>
              <w:rPr>
                <w:position w:val="6"/>
                <w:sz w:val="24"/>
                <w:szCs w:val="24"/>
              </w:rPr>
              <w:t>б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24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2,94</w:t>
            </w:r>
          </w:p>
        </w:tc>
        <w:tc>
          <w:tcPr>
            <w:tcW w:w="624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775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97,06</w:t>
            </w:r>
          </w:p>
        </w:tc>
      </w:tr>
    </w:tbl>
    <w:p w:rsidR="00DC4AC6" w:rsidRDefault="00DC4AC6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  <w:lang w:val="en-US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sz w:val="24"/>
          <w:szCs w:val="24"/>
        </w:rPr>
        <w:t>Т а б л и ц а  6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Результаты проверки диагностической и прогностической таблицы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на проверочной группе</w:t>
      </w:r>
    </w:p>
    <w:p w:rsidR="00DC4AC6" w:rsidRDefault="00DC4AC6">
      <w:pPr>
        <w:tabs>
          <w:tab w:val="left" w:pos="426"/>
          <w:tab w:val="left" w:pos="709"/>
          <w:tab w:val="left" w:pos="1134"/>
        </w:tabs>
        <w:spacing w:line="120" w:lineRule="exact"/>
        <w:ind w:firstLine="567"/>
        <w:jc w:val="center"/>
        <w:rPr>
          <w:sz w:val="24"/>
          <w:szCs w:val="24"/>
        </w:rPr>
      </w:pPr>
    </w:p>
    <w:tbl>
      <w:tblPr>
        <w:tblW w:w="0" w:type="auto"/>
        <w:tblInd w:w="4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1474"/>
        <w:gridCol w:w="1134"/>
        <w:gridCol w:w="736"/>
        <w:gridCol w:w="512"/>
        <w:gridCol w:w="224"/>
        <w:gridCol w:w="400"/>
        <w:gridCol w:w="736"/>
        <w:gridCol w:w="112"/>
        <w:gridCol w:w="400"/>
        <w:gridCol w:w="112"/>
        <w:gridCol w:w="7756"/>
        <w:gridCol w:w="132"/>
      </w:tblGrid>
      <w:tr w:rsidR="000C17EB" w:rsidTr="000C17EB">
        <w:trPr>
          <w:cantSplit/>
        </w:trPr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Состояние</w:t>
            </w:r>
          </w:p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катамнезу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Вариант таблицы</w:t>
            </w:r>
          </w:p>
        </w:tc>
        <w:tc>
          <w:tcPr>
            <w:tcW w:w="14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Переоценка</w:t>
            </w:r>
          </w:p>
        </w:tc>
        <w:tc>
          <w:tcPr>
            <w:tcW w:w="124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Недооценка</w:t>
            </w:r>
          </w:p>
          <w:p w:rsidR="00DC4AC6" w:rsidRDefault="00DC4AC6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</w:tc>
        <w:tc>
          <w:tcPr>
            <w:tcW w:w="840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Правильный диагноз</w:t>
            </w:r>
          </w:p>
        </w:tc>
      </w:tr>
      <w:tr w:rsidR="000C17EB" w:rsidTr="000C17EB">
        <w:trPr>
          <w:gridAfter w:val="1"/>
          <w:wAfter w:w="132" w:type="dxa"/>
          <w:cantSplit/>
        </w:trPr>
        <w:tc>
          <w:tcPr>
            <w:tcW w:w="1474" w:type="dxa"/>
            <w:tcBorders>
              <w:top w:val="nil"/>
              <w:left w:val="single" w:sz="6" w:space="0" w:color="auto"/>
              <w:bottom w:val="double" w:sz="6" w:space="0" w:color="auto"/>
              <w:right w:val="nil"/>
            </w:tcBorders>
          </w:tcPr>
          <w:p w:rsidR="00DC4AC6" w:rsidRDefault="00DC4AC6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DC4AC6" w:rsidRDefault="00DC4AC6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</w:t>
            </w: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624" w:type="dxa"/>
            <w:gridSpan w:val="2"/>
            <w:tcBorders>
              <w:top w:val="nil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512" w:type="dxa"/>
            <w:gridSpan w:val="2"/>
            <w:tcBorders>
              <w:top w:val="nil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</w:t>
            </w:r>
          </w:p>
        </w:tc>
        <w:tc>
          <w:tcPr>
            <w:tcW w:w="7868" w:type="dxa"/>
            <w:gridSpan w:val="2"/>
            <w:tcBorders>
              <w:top w:val="nil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</w:tr>
      <w:tr w:rsidR="000C17EB" w:rsidTr="000C17EB">
        <w:trPr>
          <w:gridAfter w:val="1"/>
          <w:wAfter w:w="132" w:type="dxa"/>
          <w:cantSplit/>
        </w:trPr>
        <w:tc>
          <w:tcPr>
            <w:tcW w:w="1474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Дети после ОРВИ, ОСЛТ, ОСЛТБ </w:t>
            </w:r>
          </w:p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 не заболевшие 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DC4AC6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ФИБ-113-1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35,8</w:t>
            </w:r>
          </w:p>
        </w:tc>
        <w:tc>
          <w:tcPr>
            <w:tcW w:w="624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24" w:type="dxa"/>
            <w:gridSpan w:val="3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77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pct10" w:color="auto" w:fill="auto"/>
          </w:tcPr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64,2</w:t>
            </w:r>
          </w:p>
        </w:tc>
      </w:tr>
      <w:tr w:rsidR="000C17EB" w:rsidTr="000C17EB">
        <w:trPr>
          <w:gridAfter w:val="1"/>
          <w:wAfter w:w="132" w:type="dxa"/>
          <w:cantSplit/>
        </w:trPr>
        <w:tc>
          <w:tcPr>
            <w:tcW w:w="1474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через 5 лет РА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ФИБ-113-2</w:t>
            </w:r>
            <w:r>
              <w:rPr>
                <w:position w:val="6"/>
                <w:sz w:val="24"/>
                <w:szCs w:val="24"/>
              </w:rPr>
              <w:t>б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10,3</w:t>
            </w:r>
          </w:p>
        </w:tc>
        <w:tc>
          <w:tcPr>
            <w:tcW w:w="624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24" w:type="dxa"/>
            <w:gridSpan w:val="3"/>
            <w:tcBorders>
              <w:top w:val="nil"/>
              <w:left w:val="single" w:sz="6" w:space="0" w:color="auto"/>
              <w:bottom w:val="nil"/>
              <w:right w:val="nil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77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pct10" w:color="auto" w:fill="auto"/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89,7</w:t>
            </w:r>
          </w:p>
        </w:tc>
      </w:tr>
      <w:tr w:rsidR="000C17EB" w:rsidTr="000C17EB">
        <w:trPr>
          <w:gridAfter w:val="1"/>
          <w:wAfter w:w="132" w:type="dxa"/>
          <w:cantSplit/>
        </w:trPr>
        <w:tc>
          <w:tcPr>
            <w:tcW w:w="147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 после ОРВИ, ОСЛТ, ОСЛТБ</w:t>
            </w:r>
          </w:p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заболевшие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DC4AC6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ФИБ-113-1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24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24" w:type="dxa"/>
            <w:gridSpan w:val="3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77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C4AC6" w:rsidRDefault="00DC4AC6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</w:p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</w:tr>
      <w:tr w:rsidR="000C17EB" w:rsidTr="000C17EB">
        <w:trPr>
          <w:gridAfter w:val="1"/>
          <w:wAfter w:w="132" w:type="dxa"/>
          <w:cantSplit/>
        </w:trPr>
        <w:tc>
          <w:tcPr>
            <w:tcW w:w="1474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через 5 лет РА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  <w:tab w:val="left" w:pos="1134"/>
              </w:tabs>
              <w:spacing w:line="240" w:lineRule="exact"/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ФИБ-113-2</w:t>
            </w:r>
            <w:r>
              <w:rPr>
                <w:position w:val="6"/>
                <w:sz w:val="24"/>
                <w:szCs w:val="24"/>
              </w:rPr>
              <w:t>б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24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36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24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775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AC6" w:rsidRDefault="009C21AE">
            <w:pPr>
              <w:tabs>
                <w:tab w:val="left" w:pos="426"/>
                <w:tab w:val="left" w:pos="709"/>
              </w:tabs>
              <w:spacing w:line="240" w:lineRule="exact"/>
              <w:ind w:firstLine="5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</w:tr>
    </w:tbl>
    <w:p w:rsidR="00DC4AC6" w:rsidRDefault="00DC4AC6">
      <w:pPr>
        <w:tabs>
          <w:tab w:val="left" w:pos="426"/>
          <w:tab w:val="left" w:pos="709"/>
          <w:tab w:val="left" w:pos="1134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Проверка ФИБ-113-2</w:t>
      </w:r>
      <w:r>
        <w:rPr>
          <w:position w:val="6"/>
          <w:sz w:val="24"/>
          <w:szCs w:val="24"/>
        </w:rPr>
        <w:t>а</w:t>
      </w:r>
      <w:r>
        <w:rPr>
          <w:sz w:val="24"/>
          <w:szCs w:val="24"/>
        </w:rPr>
        <w:t xml:space="preserve"> на этой группе детей не проводилась, ввиду отсутствия иммунологического обследования.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3)</w:t>
      </w:r>
      <w:r>
        <w:rPr>
          <w:sz w:val="24"/>
          <w:szCs w:val="24"/>
        </w:rPr>
        <w:tab/>
        <w:t>Проспективная проверка эффективности алгоритмов на группе испытания (88 человек) путем сравнения числа правильных ответов при заполнении ФИБов в остром периоде заболевания и результатов катам-нестического обследования спустя год после заболевания - 46 человек (табл. 6).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Профессиональная вредность у отца до рождения ребенка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нет или неингаляционная</w:t>
      </w:r>
      <w:r>
        <w:rPr>
          <w:sz w:val="24"/>
          <w:szCs w:val="24"/>
        </w:rPr>
        <w:tab/>
        <w:t>-1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ингаляционная</w:t>
      </w:r>
      <w:r>
        <w:rPr>
          <w:sz w:val="24"/>
          <w:szCs w:val="24"/>
        </w:rPr>
        <w:tab/>
        <w:t>+2</w:t>
      </w:r>
    </w:p>
    <w:p w:rsidR="00DC4AC6" w:rsidRDefault="009C21AE">
      <w:pPr>
        <w:tabs>
          <w:tab w:val="left" w:pos="426"/>
          <w:tab w:val="left" w:pos="568"/>
          <w:tab w:val="left" w:pos="609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ингаляционная + прочая</w:t>
      </w:r>
      <w:r>
        <w:rPr>
          <w:sz w:val="24"/>
          <w:szCs w:val="24"/>
        </w:rPr>
        <w:tab/>
        <w:t>+3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Аллергические заболевания у мамы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нет</w:t>
      </w:r>
      <w:r>
        <w:rPr>
          <w:sz w:val="24"/>
          <w:szCs w:val="24"/>
        </w:rPr>
        <w:tab/>
        <w:t>-1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астма и/или респираторные аллергозы, в т.ч. в сочетании 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с нереспираторными проявлениями</w:t>
      </w:r>
      <w:r>
        <w:rPr>
          <w:sz w:val="24"/>
          <w:szCs w:val="24"/>
        </w:rPr>
        <w:tab/>
        <w:t>+1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нереспираторные проявления</w:t>
      </w:r>
      <w:r>
        <w:rPr>
          <w:sz w:val="24"/>
          <w:szCs w:val="24"/>
        </w:rPr>
        <w:tab/>
        <w:t>+2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IV. Клинические признаки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Состояние при поступлении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легкое и средне-тяжелое</w:t>
      </w:r>
      <w:r>
        <w:rPr>
          <w:sz w:val="24"/>
          <w:szCs w:val="24"/>
        </w:rPr>
        <w:tab/>
        <w:t>-1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тяжелое </w:t>
      </w:r>
      <w:r>
        <w:rPr>
          <w:sz w:val="24"/>
          <w:szCs w:val="24"/>
        </w:rPr>
        <w:tab/>
        <w:t>+1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Длительность сохранения лихорадки (от момента заболевания)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0 дней</w:t>
      </w:r>
      <w:r>
        <w:rPr>
          <w:sz w:val="24"/>
          <w:szCs w:val="24"/>
        </w:rPr>
        <w:tab/>
        <w:t>+2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1-2 дня</w:t>
      </w:r>
      <w:r>
        <w:rPr>
          <w:sz w:val="24"/>
          <w:szCs w:val="24"/>
        </w:rPr>
        <w:tab/>
        <w:t>+1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3 и более дней</w:t>
      </w:r>
      <w:r>
        <w:rPr>
          <w:sz w:val="24"/>
          <w:szCs w:val="24"/>
        </w:rPr>
        <w:tab/>
        <w:t>-2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Продолжительность койко-дня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1-7 дней</w:t>
      </w:r>
      <w:r>
        <w:rPr>
          <w:sz w:val="24"/>
          <w:szCs w:val="24"/>
        </w:rPr>
        <w:tab/>
        <w:t>-2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8-10 дней</w:t>
      </w:r>
      <w:r>
        <w:rPr>
          <w:sz w:val="24"/>
          <w:szCs w:val="24"/>
        </w:rPr>
        <w:tab/>
        <w:t>0</w:t>
      </w:r>
    </w:p>
    <w:p w:rsidR="00DC4AC6" w:rsidRDefault="009C21AE">
      <w:pPr>
        <w:tabs>
          <w:tab w:val="left" w:pos="426"/>
          <w:tab w:val="left" w:pos="568"/>
          <w:tab w:val="left" w:pos="609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11 и более дней</w:t>
      </w:r>
      <w:r>
        <w:rPr>
          <w:sz w:val="24"/>
          <w:szCs w:val="24"/>
        </w:rPr>
        <w:tab/>
        <w:t>+1</w:t>
      </w:r>
    </w:p>
    <w:p w:rsidR="00DC4AC6" w:rsidRDefault="009C21AE">
      <w:pPr>
        <w:tabs>
          <w:tab w:val="left" w:pos="426"/>
          <w:tab w:val="left" w:pos="568"/>
          <w:tab w:val="left" w:pos="1134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Сумма баллов</w:t>
      </w:r>
    </w:p>
    <w:p w:rsidR="00DC4AC6" w:rsidRDefault="009C21AE">
      <w:pPr>
        <w:tabs>
          <w:tab w:val="left" w:pos="426"/>
          <w:tab w:val="left" w:pos="568"/>
          <w:tab w:val="left" w:pos="1134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Рекомендовано</w:t>
      </w:r>
    </w:p>
    <w:p w:rsidR="00DC4AC6" w:rsidRDefault="009C21AE">
      <w:pPr>
        <w:tabs>
          <w:tab w:val="left" w:pos="426"/>
          <w:tab w:val="left" w:pos="568"/>
          <w:tab w:val="left" w:pos="1134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Фамилия врача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ФИБы-113-2</w:t>
      </w:r>
      <w:r>
        <w:rPr>
          <w:position w:val="6"/>
          <w:sz w:val="24"/>
          <w:szCs w:val="24"/>
        </w:rPr>
        <w:t>а,б</w:t>
      </w:r>
      <w:r>
        <w:rPr>
          <w:sz w:val="24"/>
          <w:szCs w:val="24"/>
        </w:rPr>
        <w:t xml:space="preserve"> заполняются врачом отделения при выписке ребенка из стационара. Решение задачи - выписка ребенка под наблюдение пе-диатра или направление для диспансерного наблюдения специалиста-аллерголога. При сумме баллов -2 и менее, ребенок направляется к пе-диатру, при сумме баллов -1 и более - к аллергологу. Простота и до-ступность составляющих признаков делает возможным использование их не только в условиях стационара, но и в условиях поликлиники.</w:t>
      </w: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Для оценки эффективности созданных таблиц, было проведено ис-следование результатов правильных и ошибочных диагнозов, получен-ных при проверке ФИБов на 3 группах детей. 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1)</w:t>
      </w:r>
      <w:r>
        <w:rPr>
          <w:sz w:val="24"/>
          <w:szCs w:val="24"/>
        </w:rPr>
        <w:tab/>
        <w:t>Проверка на группе обучения - 101 ребенок (табл. 5).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2)</w:t>
      </w:r>
      <w:r>
        <w:rPr>
          <w:sz w:val="24"/>
          <w:szCs w:val="24"/>
        </w:rPr>
        <w:tab/>
        <w:t>Ретроспективная проверка эффективности ФИБов на проверен-ной группе (57 детей) путем сравнения результатов, полученных при заполнении таблиц на базе данных острого периода заболевания и дан-ных катамнеза через 5 лет (табл. 6).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В зависимости от возраста дети были разделены на 4 группы: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1)</w:t>
      </w:r>
      <w:r>
        <w:rPr>
          <w:sz w:val="24"/>
          <w:szCs w:val="24"/>
        </w:rPr>
        <w:tab/>
        <w:t>дети до года - 25 (13,2%) человек;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2)</w:t>
      </w:r>
      <w:r>
        <w:rPr>
          <w:sz w:val="24"/>
          <w:szCs w:val="24"/>
        </w:rPr>
        <w:tab/>
        <w:t>дети от 1 до 2 лет - 91 (48,1%);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3)</w:t>
      </w:r>
      <w:r>
        <w:rPr>
          <w:sz w:val="24"/>
          <w:szCs w:val="24"/>
        </w:rPr>
        <w:tab/>
        <w:t>дети 2-3 лет - 51 (27,0%);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4)</w:t>
      </w:r>
      <w:r>
        <w:rPr>
          <w:sz w:val="24"/>
          <w:szCs w:val="24"/>
        </w:rPr>
        <w:tab/>
        <w:t xml:space="preserve">дети 3 лет и старше - 22 (11,7%). 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Мальчиков было 137 (72,5%), девочек - 52 (27,5%). Мальчики бо-лели ОСЛТ и ОСЛТБ в 2,6 раза чаще, чем девочки, статистически зна-чимые различия отсутствовали лишь у детей до года. У мальчиков чаще, чем у девочек наблюдалось тяжелое течение стеноза гортани. Соотно-шение мальчиков к девочкам при стенозе I степени составило 1,8:1; при стенозе II-III степени - 3,4:1. У них же чаще отмечалась склонность     к рецидивированию: соотношение мальчиков к девочкам при первичной форме ОСЛТ и ОСЛТБ было 2:1, при вторичной - 4:1, при рецидиви-рующей - 13:1.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Основными возбудителями ОРВИ были вирусы гриппа 46%, пара-гриппа - 6%, аденовирусы - 12%, респираторно-синтициальные вирусы - 3%; микоплазма пневмония - 1%, ассоциация вирусов гриппа - 15%, вирусно-вирусные ассоциации - 17%. Не выявлено достоверно зависи-мости тяжести стеноза, тяжести заболевания и формы заболевания от вида возбудителя. Можно отметить преобладание стенозов II-III степени среди больных, где этиологическим агентом ОРВИ выступали вирусы гриппа А</w:t>
      </w:r>
      <w:r>
        <w:rPr>
          <w:position w:val="-6"/>
          <w:sz w:val="24"/>
          <w:szCs w:val="24"/>
        </w:rPr>
        <w:t>2</w:t>
      </w:r>
      <w:r>
        <w:rPr>
          <w:sz w:val="24"/>
          <w:szCs w:val="24"/>
        </w:rPr>
        <w:t xml:space="preserve"> и смешанная вирусно-вирусная инфекция.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У большинства детей исследуемой группы (78%) явления стеноза гортани развились в первые двое суток от начала ОРВИ, у 59,3% воз-никновению стеноза предшествовали симптомы ОРВИ. У 85,2% боль-ных синдром ОСЛТ и ОСЛТБ развивался по 1-му и 2-му клиническому варианту. 3-й клинический вариант наблюдался в основном у детей от  1 года до 2 лет.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У 43,3% больных отмечалась патология беременности в виде ток-сикоза II половины и угрозы прерывания беременности. Она была до-стоверно выше у девочек. 49,7% детей имели наследственность, отяго-щенную аллергическими заболеваниями. У детей со стенозом II-III сте-пени, а также у детей первого года жизни этот показатель был досто-верно выше - 56,7% и 68,0%, чем у детей со стенозом I степени (37,7%) и детей старше года (53,0%). Наиболее часто отягощенная аллерго-наследственность (24,3%) прослеживалась по линии матери. У детей до года она была значительно выше и составила 40%. Бронхиальная астма встречалась у родственников исследуемых детей в 12,2% случаев, у де-тей первого года жизни она наблюдалась достоверно чаще (24,0%), чем в  других  возрастных  группах.  У больных  со стенозом  II-III  степени 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бронхиальная астма у родственников отмечалась у 15,8%. Это позволяет думать о том, что наличие БА у прямых родственников может спо-собствовать не только раннему возникновению, но и утяжелению ОСЛТ и ОСЛТБ при ОРВИ.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У 38,7% родителей исследуемых больных отмечался контакт с про-фессиональными вредностями до наступления и в течение настоящей беременности. Наличие профвредностей в группе больных со стенозом II-III степени наблюдалось несколько чаще (40,0%), чем со стенозом     I степени (33,0%), у мальчиков несколько чаще (38,7%), чем у девочек (34,6%).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Большинство детей родились доношенными (83,6%), 5,3% - имели массу тела менее 2500 г, 11,1% - 4000 г и более.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Продолжительность грудного вскармливания у 68.1% больных не превышала 6 месяцев. Раннее искусственное вскармливание (менее      1 мес) наблюдалось у 17%, при этом, наиболее часто, с тенденцией      к достоверности оно встречалось при развитии ОСЛТ и ОСЛТБ в воз-расте до года (30,4%) и у детей, со стенозом II-III степени (47,3%). 56,6% исследуемых детей имели различные проявления пищевой аллер-гии. Несколько чаще она встречалась у девочек (65,4%), чем у мальчи-ков (53,3%), чаще у больных со стенозом II-III степени (58,3%), чем со стенозом I степени (53,6%). 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По тяжести состояния больные распределились следующим обра-зом: в состоянии средней тяжести наблюдались 127 (67%) детей, в тяже-лом - 62 (33%). Тяжесть состояния в первую очередь была обусловлена степенью стеноза гортани, во вторую очередь интоксикацией и сопутст-вующей патологией. Достоверной зависимости тяжести состояния от возраста ребенка не выявлено, однако у детей третьего и четвертого го-да жизни частота тяжелых форм была несколько меньше (25,5%          и 27,3%), чем у детей первого (36,0%) и второго года (37,3%), что можно объяснить наличием рецидивирующих форм ОСЛТ и ОСЛТБ     в старших возрастных группах.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Больных со стенозом гортани I степени наблюдалось 69 (36,5%) человек, стенозом II степени - 118 (62,4%), стенозом III степени -        2 (1,1%). У детей первого года и второго года жизни преобладала кли-ника стеноза гортани II-III степени (68,0% и 72,5%), у детей 3-го и 4-го года жизни соотношение было почти равным.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Повторные эпизоды ОСЛТ и ОСЛТБ наблюдались, в основном,     у детей старше 2 лет. Более легкое течение стеноза гортани, а именно, стеноз гортани I степени, отмечались при четвертых и более эпизодах ОСЛТ и ОСЛТБ.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  <w:lang w:val="en-US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sz w:val="24"/>
          <w:szCs w:val="24"/>
        </w:rPr>
        <w:t>Т а б л и ц а  4</w:t>
      </w: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Формализованный информационный бланк</w:t>
      </w: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для включения детей 1-3 лет, перенесших ОСЛТБ при ОРВИ,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 группу риска по респираторным аллергозам</w:t>
      </w:r>
    </w:p>
    <w:p w:rsidR="00DC4AC6" w:rsidRDefault="00DC4AC6">
      <w:pPr>
        <w:tabs>
          <w:tab w:val="left" w:pos="426"/>
          <w:tab w:val="left" w:pos="709"/>
        </w:tabs>
        <w:spacing w:line="120" w:lineRule="exact"/>
        <w:ind w:firstLine="567"/>
        <w:jc w:val="center"/>
        <w:rPr>
          <w:b/>
          <w:bCs/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I. Паспортная часть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Номер истории болезни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Дата заполнения</w:t>
      </w:r>
    </w:p>
    <w:p w:rsidR="00DC4AC6" w:rsidRDefault="009C21AE">
      <w:pPr>
        <w:tabs>
          <w:tab w:val="left" w:pos="426"/>
          <w:tab w:val="left" w:pos="709"/>
          <w:tab w:val="left" w:pos="1134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Фамилия и имя ребенка 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Дата рождения 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Возраст</w:t>
      </w:r>
    </w:p>
    <w:p w:rsidR="00DC4AC6" w:rsidRDefault="009C21AE">
      <w:pPr>
        <w:tabs>
          <w:tab w:val="left" w:pos="426"/>
          <w:tab w:val="left" w:pos="709"/>
          <w:tab w:val="left" w:pos="1134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Домашний адрес</w:t>
      </w:r>
    </w:p>
    <w:p w:rsidR="00DC4AC6" w:rsidRDefault="009C21AE">
      <w:pPr>
        <w:tabs>
          <w:tab w:val="left" w:pos="426"/>
          <w:tab w:val="left" w:pos="709"/>
          <w:tab w:val="left" w:pos="1134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Номер поликлиники</w:t>
      </w:r>
    </w:p>
    <w:p w:rsidR="00DC4AC6" w:rsidRDefault="00DC4AC6">
      <w:pPr>
        <w:tabs>
          <w:tab w:val="left" w:pos="426"/>
          <w:tab w:val="left" w:pos="709"/>
        </w:tabs>
        <w:spacing w:line="120" w:lineRule="exact"/>
        <w:ind w:firstLine="567"/>
        <w:jc w:val="center"/>
        <w:rPr>
          <w:b/>
          <w:bCs/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II. Анамнестические данные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Месяц рождения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VIII, IX</w:t>
      </w:r>
      <w:r>
        <w:rPr>
          <w:sz w:val="24"/>
          <w:szCs w:val="24"/>
        </w:rPr>
        <w:tab/>
        <w:t>-3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I, XII</w:t>
      </w:r>
      <w:r>
        <w:rPr>
          <w:sz w:val="24"/>
          <w:szCs w:val="24"/>
        </w:rPr>
        <w:tab/>
        <w:t>-2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IV, V</w:t>
      </w:r>
      <w:r>
        <w:rPr>
          <w:sz w:val="24"/>
          <w:szCs w:val="24"/>
        </w:rPr>
        <w:tab/>
        <w:t>0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II, III, VII, XI</w:t>
      </w:r>
      <w:r>
        <w:rPr>
          <w:sz w:val="24"/>
          <w:szCs w:val="24"/>
        </w:rPr>
        <w:tab/>
        <w:t>+1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VI, X</w:t>
      </w:r>
      <w:r>
        <w:rPr>
          <w:sz w:val="24"/>
          <w:szCs w:val="24"/>
        </w:rPr>
        <w:tab/>
        <w:t>+2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Масса при рождении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3000-3999 г</w:t>
      </w:r>
      <w:r>
        <w:rPr>
          <w:sz w:val="24"/>
          <w:szCs w:val="24"/>
        </w:rPr>
        <w:tab/>
        <w:t>-1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менее 3000 и 4000 и более</w:t>
      </w:r>
      <w:r>
        <w:rPr>
          <w:sz w:val="24"/>
          <w:szCs w:val="24"/>
        </w:rPr>
        <w:tab/>
        <w:t>+2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Количество ОРВИ в анамнезе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от 0 до 9</w:t>
      </w:r>
      <w:r>
        <w:rPr>
          <w:sz w:val="24"/>
          <w:szCs w:val="24"/>
        </w:rPr>
        <w:tab/>
        <w:t>-1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10 и более</w:t>
      </w:r>
      <w:r>
        <w:rPr>
          <w:sz w:val="24"/>
          <w:szCs w:val="24"/>
        </w:rPr>
        <w:tab/>
        <w:t>+2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День болезни на момент госпитализации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1-2-й день</w:t>
      </w:r>
      <w:r>
        <w:rPr>
          <w:sz w:val="24"/>
          <w:szCs w:val="24"/>
        </w:rPr>
        <w:tab/>
        <w:t>+1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3-й день и более</w:t>
      </w:r>
      <w:r>
        <w:rPr>
          <w:sz w:val="24"/>
          <w:szCs w:val="24"/>
        </w:rPr>
        <w:tab/>
        <w:t>-1</w:t>
      </w:r>
    </w:p>
    <w:p w:rsidR="00DC4AC6" w:rsidRDefault="009C21AE">
      <w:pPr>
        <w:tabs>
          <w:tab w:val="left" w:pos="426"/>
          <w:tab w:val="left" w:pos="568"/>
          <w:tab w:val="left" w:pos="1134"/>
          <w:tab w:val="left" w:pos="6096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III. Аллергоанамнез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Непереносимость облигатных аллергенов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нет</w:t>
      </w:r>
      <w:r>
        <w:rPr>
          <w:sz w:val="24"/>
          <w:szCs w:val="24"/>
        </w:rPr>
        <w:tab/>
        <w:t>-1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любых, кроме цитрусовых, куры, яиц, рыбы</w:t>
      </w:r>
      <w:r>
        <w:rPr>
          <w:sz w:val="24"/>
          <w:szCs w:val="24"/>
        </w:rPr>
        <w:tab/>
        <w:t>0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цитрусовых, куры, яиц</w:t>
      </w:r>
      <w:r>
        <w:rPr>
          <w:sz w:val="24"/>
          <w:szCs w:val="24"/>
        </w:rPr>
        <w:tab/>
        <w:t>+1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рыбы</w:t>
      </w:r>
      <w:r>
        <w:rPr>
          <w:sz w:val="24"/>
          <w:szCs w:val="24"/>
        </w:rPr>
        <w:tab/>
        <w:t>+3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Профессиональная вредность у матери до и во время беременности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нет или неингаляционная</w:t>
      </w:r>
      <w:r>
        <w:rPr>
          <w:sz w:val="24"/>
          <w:szCs w:val="24"/>
        </w:rPr>
        <w:tab/>
        <w:t>-1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ингаляционная</w:t>
      </w:r>
      <w:r>
        <w:rPr>
          <w:sz w:val="24"/>
          <w:szCs w:val="24"/>
        </w:rPr>
        <w:tab/>
        <w:t>0</w:t>
      </w:r>
    </w:p>
    <w:p w:rsidR="00DC4AC6" w:rsidRDefault="009C21AE">
      <w:pPr>
        <w:tabs>
          <w:tab w:val="left" w:pos="426"/>
          <w:tab w:val="left" w:pos="568"/>
          <w:tab w:val="left" w:pos="609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ингаляционная + прочая</w:t>
      </w:r>
      <w:r>
        <w:rPr>
          <w:sz w:val="24"/>
          <w:szCs w:val="24"/>
        </w:rPr>
        <w:tab/>
        <w:t>+3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sz w:val="24"/>
          <w:szCs w:val="24"/>
        </w:rPr>
        <w:t>- 16 -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568"/>
          <w:tab w:val="left" w:pos="1134"/>
          <w:tab w:val="left" w:pos="6096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III. Аллергоанамнез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Непереносимость облигатных аллергенов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нет</w:t>
      </w:r>
      <w:r>
        <w:rPr>
          <w:sz w:val="24"/>
          <w:szCs w:val="24"/>
        </w:rPr>
        <w:tab/>
        <w:t>-1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любых, кроме цитрусовых, куры, яиц, рыбы</w:t>
      </w:r>
      <w:r>
        <w:rPr>
          <w:sz w:val="24"/>
          <w:szCs w:val="24"/>
        </w:rPr>
        <w:tab/>
        <w:t>0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цитрусовых, куры, яиц</w:t>
      </w:r>
      <w:r>
        <w:rPr>
          <w:sz w:val="24"/>
          <w:szCs w:val="24"/>
        </w:rPr>
        <w:tab/>
        <w:t>+1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рыбы</w:t>
      </w:r>
      <w:r>
        <w:rPr>
          <w:sz w:val="24"/>
          <w:szCs w:val="24"/>
        </w:rPr>
        <w:tab/>
        <w:t>+3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Профессиональная вредность у матери до и во время беременности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нет или неингаляционная</w:t>
      </w:r>
      <w:r>
        <w:rPr>
          <w:sz w:val="24"/>
          <w:szCs w:val="24"/>
        </w:rPr>
        <w:tab/>
        <w:t>-1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ингаляционная</w:t>
      </w:r>
      <w:r>
        <w:rPr>
          <w:sz w:val="24"/>
          <w:szCs w:val="24"/>
        </w:rPr>
        <w:tab/>
        <w:t>0</w:t>
      </w:r>
    </w:p>
    <w:p w:rsidR="00DC4AC6" w:rsidRDefault="009C21AE">
      <w:pPr>
        <w:tabs>
          <w:tab w:val="left" w:pos="426"/>
          <w:tab w:val="left" w:pos="568"/>
          <w:tab w:val="left" w:pos="609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ингаляционная + прочая</w:t>
      </w:r>
      <w:r>
        <w:rPr>
          <w:sz w:val="24"/>
          <w:szCs w:val="24"/>
        </w:rPr>
        <w:tab/>
        <w:t>+3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IV. Клинические признаки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Состояние при поступлении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легкое и средне-тяжелое</w:t>
      </w:r>
      <w:r>
        <w:rPr>
          <w:sz w:val="24"/>
          <w:szCs w:val="24"/>
        </w:rPr>
        <w:tab/>
        <w:t>-1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тяжелое </w:t>
      </w:r>
      <w:r>
        <w:rPr>
          <w:sz w:val="24"/>
          <w:szCs w:val="24"/>
        </w:rPr>
        <w:tab/>
        <w:t>+1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Длительность сохранения лихорадки (от момента заболевания)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0 дней</w:t>
      </w:r>
      <w:r>
        <w:rPr>
          <w:sz w:val="24"/>
          <w:szCs w:val="24"/>
        </w:rPr>
        <w:tab/>
        <w:t>+2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1-2 дня</w:t>
      </w:r>
      <w:r>
        <w:rPr>
          <w:sz w:val="24"/>
          <w:szCs w:val="24"/>
        </w:rPr>
        <w:tab/>
        <w:t>+1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3 и более дней</w:t>
      </w:r>
      <w:r>
        <w:rPr>
          <w:sz w:val="24"/>
          <w:szCs w:val="24"/>
        </w:rPr>
        <w:tab/>
        <w:t>-2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Продолжительность койко-дня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1-7 дней</w:t>
      </w:r>
      <w:r>
        <w:rPr>
          <w:sz w:val="24"/>
          <w:szCs w:val="24"/>
        </w:rPr>
        <w:tab/>
        <w:t>-2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8-10 дней</w:t>
      </w:r>
      <w:r>
        <w:rPr>
          <w:sz w:val="24"/>
          <w:szCs w:val="24"/>
        </w:rPr>
        <w:tab/>
        <w:t>0</w:t>
      </w:r>
    </w:p>
    <w:p w:rsidR="00DC4AC6" w:rsidRDefault="009C21AE">
      <w:pPr>
        <w:tabs>
          <w:tab w:val="left" w:pos="426"/>
          <w:tab w:val="left" w:pos="568"/>
          <w:tab w:val="left" w:pos="609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11 и более дней</w:t>
      </w:r>
      <w:r>
        <w:rPr>
          <w:sz w:val="24"/>
          <w:szCs w:val="24"/>
        </w:rPr>
        <w:tab/>
        <w:t>+1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V. Лабораторные данные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Уровень Ig Е в сыворотке крови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норма или повышен в пределах 1 сигмы</w:t>
      </w:r>
      <w:r>
        <w:rPr>
          <w:sz w:val="24"/>
          <w:szCs w:val="24"/>
        </w:rPr>
        <w:tab/>
        <w:t>-3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повышен в пределах от 1 сигмы до 2 сигм</w:t>
      </w:r>
      <w:r>
        <w:rPr>
          <w:sz w:val="24"/>
          <w:szCs w:val="24"/>
        </w:rPr>
        <w:tab/>
        <w:t>-2</w:t>
      </w:r>
    </w:p>
    <w:p w:rsidR="00DC4AC6" w:rsidRDefault="009C21AE">
      <w:pPr>
        <w:tabs>
          <w:tab w:val="left" w:pos="426"/>
          <w:tab w:val="left" w:pos="568"/>
          <w:tab w:val="left" w:pos="609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повышен более чем на 2 сигмы</w:t>
      </w:r>
      <w:r>
        <w:rPr>
          <w:sz w:val="24"/>
          <w:szCs w:val="24"/>
        </w:rPr>
        <w:tab/>
        <w:t>+1</w:t>
      </w:r>
    </w:p>
    <w:p w:rsidR="00DC4AC6" w:rsidRDefault="009C21AE">
      <w:pPr>
        <w:tabs>
          <w:tab w:val="left" w:pos="426"/>
          <w:tab w:val="left" w:pos="568"/>
          <w:tab w:val="left" w:pos="1134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Сумма баллов</w:t>
      </w:r>
    </w:p>
    <w:p w:rsidR="00DC4AC6" w:rsidRDefault="009C21AE">
      <w:pPr>
        <w:tabs>
          <w:tab w:val="left" w:pos="426"/>
          <w:tab w:val="left" w:pos="568"/>
          <w:tab w:val="left" w:pos="1134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Рекомендовано</w:t>
      </w:r>
    </w:p>
    <w:p w:rsidR="00DC4AC6" w:rsidRDefault="009C21AE">
      <w:pPr>
        <w:tabs>
          <w:tab w:val="left" w:pos="426"/>
          <w:tab w:val="left" w:pos="568"/>
          <w:tab w:val="left" w:pos="1134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Фамилия врача</w:t>
      </w:r>
    </w:p>
    <w:p w:rsidR="00DC4AC6" w:rsidRDefault="009C21AE">
      <w:pPr>
        <w:tabs>
          <w:tab w:val="left" w:pos="426"/>
          <w:tab w:val="left" w:pos="568"/>
          <w:tab w:val="left" w:pos="1134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Дата</w:t>
      </w:r>
    </w:p>
    <w:p w:rsidR="00DC4AC6" w:rsidRDefault="00DC4AC6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  <w:t>При отсутствии возможности иммунологического обследования ис-пользуется ФИБ-113-2</w:t>
      </w:r>
      <w:r>
        <w:rPr>
          <w:position w:val="6"/>
          <w:sz w:val="24"/>
          <w:szCs w:val="24"/>
        </w:rPr>
        <w:t>б</w:t>
      </w:r>
      <w:r>
        <w:rPr>
          <w:sz w:val="24"/>
          <w:szCs w:val="24"/>
        </w:rPr>
        <w:t xml:space="preserve"> (табл. 4). Он состоит из тех же разделов, что    и ФИБ-113-2</w:t>
      </w:r>
      <w:r>
        <w:rPr>
          <w:position w:val="6"/>
          <w:sz w:val="24"/>
          <w:szCs w:val="24"/>
        </w:rPr>
        <w:t>а</w:t>
      </w:r>
      <w:r>
        <w:rPr>
          <w:sz w:val="24"/>
          <w:szCs w:val="24"/>
        </w:rPr>
        <w:t>, за исключением раздела V - "Лабораторные данные". Признаками, замещающими V раздел, после вычислительного экспери-мента, в ФИБе стали: день болезни на момент госпитализации (в раз-деле "Анамнестические данные") и 2 признака, вошедшие в раздел "Ал-лергоанамнез": профессиональные вредности у отца ребенка до рожде-ния ребенка и наличие аллергических заболеваний у матери.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В клинической картине можно отметить отсутствие повышения температуры тела при развитии стеноза у 37%, отсутствие явлений ри-нита у 30%, отсутствие осиплости голоса у 13% детей.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Таким образом, анализ острого периода показал, что факторами, способствующими возникновению и утяжелению синдрома ОСЛТ         и ОСЛТБ могут служить ранний возраст и мужской пол ребенка, не-благоприятное течение беременности и родов, избыточная масса тела при рождении, раннее искусственное вскармливание, отягощенная ал-лергонаследственность, особенно по материнской линии, контакт роди-телей с профессиональными вредностями до и во время беременности, пищевая аллергия у ребенка. Наличие отягощенной аллергонаследст-венности, проявлений пищевой аллергии более чем у половины детей, острое внезапное развитие синдрома ОСЛТ и ОСЛТБ на фоне имеющихся или отсутствующих симптомов ОРВИ не исключает возможность участия аллергического компонента воспаления в патогенезе данной патологии и существовании как минимум 2 клинико-патогенетических ва-риантов: инфекционного и аллергического. Однако, наличие тех или иных проявлений аллергии у большинства исследуемых затрудняет диф-ференцировку названных механизмов по общепринятой методике (или по 1-2 клинико-лабораторным признакам) и требует новых подходов для решения данной проблемы.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Для разработки диагностического и прогностического алгоритма, позволяющего выделить "аллергический" вариант ОСЛТ, ОСЛТБ при ОРВИ в остром периоде и возможного прогноза в будущем проведено клинико-катамнестическое исследование 101 ребенка в возрасте 5-8 лет, спустя 5 лет после перенесенного ОСЛТ и ОСЛТБ. Дети были госпитализированы в ДГБ N3 г. Санкт-Петербурга с диагнозом ОРВИ, ОСЛТ, ОСЛТБ. У 101 ребенка ОРВИ была диагностирована клиниче-ски, у 80 из них подтверждена серологически и методом иммунофлюо-ресценции.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Клинико-катамнестическое исследование проводилось с целью вы-явления признаков респираторной аллергии или респираторного аллер-гоза, расцениваемых большинством авторов, как предастма. В результа-те катамнестического обследования исследуемая группа разбилась на 2. В первую вошли 67 детей, не имевших проявлений респираторной ал-лергии, во вторую - 34 ребенка, имевшие проявления респираторной ал-лергии, в т.ч. БА. В дальнейшем первая группа именовалась как "здоро-вые" или А</w:t>
      </w:r>
      <w:r>
        <w:rPr>
          <w:position w:val="-4"/>
          <w:sz w:val="24"/>
          <w:szCs w:val="24"/>
        </w:rPr>
        <w:t>1</w:t>
      </w:r>
      <w:r>
        <w:rPr>
          <w:sz w:val="24"/>
          <w:szCs w:val="24"/>
        </w:rPr>
        <w:t>, а вторая - "группа РА" или А</w:t>
      </w:r>
      <w:r>
        <w:rPr>
          <w:position w:val="-4"/>
          <w:sz w:val="24"/>
          <w:szCs w:val="24"/>
        </w:rPr>
        <w:t>2</w:t>
      </w:r>
      <w:r>
        <w:rPr>
          <w:sz w:val="24"/>
          <w:szCs w:val="24"/>
        </w:rPr>
        <w:t>. Этот факт подтвердил предположение о наличии патогенетической разнородности ОСЛТ, ОСЛТБ при ОРВИ и существовании минимум двух клинико-патогенети-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ческих вариантов заболевания: "неаллергической" с благоприятным про-гнозом и "аллергической" с исходом в хронические аллергические пора-жения респираторного тракта.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Изучение группы "здоровых" показало ее неоднородность. Несмот-ря на отсутствие проявлений респираторной аллергии, у 35,8% детей была отмечена предрасположенность к частым заболеваниям дыхатель-ных путей. Наиболее отчетливо она проявлялась у детей, имевших       в анамнезе 2 (55%) и 3 и более (67%) эпизодов ОСЛТ и ОСЛТБ.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Диагноз респираторного аллергоза основывался на данных аллерго-логического анамнеза и обследования. Дети в группе РА в зависимости от нозологического варианта распределились следующим образом: брон-хиальную астму сформировали 11 (32,4% - в группе РА и 10,9% -        в группе в целом); аллергический ларинготрахеобронхит - 3 (8,8%       и 3,0%); аллергический ларинготрахеит - 7 (20,6% и 6,9%); аллергиче-ский трахеит - 2 (5,9% и 2,0%); аллергический трахеобронхит -           4 (11,8% и 4,0%); аллергический ринотрахеит - 4 (11,8% и 4,0%); ал-лергический ларинготрахеобронхит + поллиноз - 1 (2,8% и 1,0%); пол-линоз - 2 (5,9% и 2,0%). Среди детей с бронхиальной астмой 7 имели легкое течение, 3 - средне-тяжелое, 1 - тяжелое. У 5 детей отмечена атопическая форма, у 6 - сочетанная форма бронхиальной астмы.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Причинно значимым аллергеном в большинстве случаев (25 детей - 83%) была домашняя пыль. У 18 (60%) она была единственным аллер-геном, в остальных случаях сочеталась с пищевыми и/или пыльцевыми аллергенами. Двое детей имели сенсибилизацию только к пыльце дере-вьев и трав, 2 - пищевым аллергенам, 1 - к группе пенициллина. Основ-ными неантигенными этиологическими факторами служили физическая нагрузка, раздражающие ингалянты и стресс. Складывается впечат-ление, что там, где в роли органа мишени преимущественно высту-  пает гортань, провоцирующими агентами служат раздражающие инга-лянты, в случае поражения нижних дыхательных путей - физическая на-грузка.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Отчетливо прослеживается связь между рецидивирующими характе-ром ОСЛТ и ОСЛТБ и возможностью РА в последующем. Дети, имев-шие в анамнезе 3 и более эпизода ОСЛТ и ОСЛТБ, сформировали кли-нику РА в 55,9% случаев, 1-2 эпизода - в 22,6-21,4% случаев. При этом у детей с рецидивирующим течением ОСЛТ и ОСЛТБ чаще, чем у детей с одним эпизодом ОСЛТ и ОСЛТБ (73,7% и 16,7%), отмечались пато-рецепторный и смешанные формы РА. Чисто атопический вариант чаще наблюдался у детей с одним эпизодом ОСЛТ и ОСЛТБ (83,8%). У детей с рецидивирующим течением он был равен 26,3% (p&lt;0,01).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Число сердечных сокращений в 1 мин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до 120</w:t>
      </w:r>
      <w:r>
        <w:rPr>
          <w:sz w:val="24"/>
          <w:szCs w:val="24"/>
        </w:rPr>
        <w:tab/>
        <w:t>+1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121 и более</w:t>
      </w:r>
      <w:r>
        <w:rPr>
          <w:sz w:val="24"/>
          <w:szCs w:val="24"/>
        </w:rPr>
        <w:tab/>
        <w:t>0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Степень стеноза при госпитализации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I степени</w:t>
      </w:r>
      <w:r>
        <w:rPr>
          <w:sz w:val="24"/>
          <w:szCs w:val="24"/>
        </w:rPr>
        <w:tab/>
        <w:t>-2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II-III степени</w:t>
      </w:r>
      <w:r>
        <w:rPr>
          <w:sz w:val="24"/>
          <w:szCs w:val="24"/>
        </w:rPr>
        <w:tab/>
        <w:t>0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Состояние при поступлении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легкое и средне-тяжелое</w:t>
      </w:r>
      <w:r>
        <w:rPr>
          <w:sz w:val="24"/>
          <w:szCs w:val="24"/>
        </w:rPr>
        <w:tab/>
        <w:t>-1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тяжелое </w:t>
      </w:r>
      <w:r>
        <w:rPr>
          <w:sz w:val="24"/>
          <w:szCs w:val="24"/>
        </w:rPr>
        <w:tab/>
        <w:t>+1</w:t>
      </w:r>
    </w:p>
    <w:p w:rsidR="00DC4AC6" w:rsidRDefault="009C21AE">
      <w:pPr>
        <w:tabs>
          <w:tab w:val="left" w:pos="426"/>
          <w:tab w:val="left" w:pos="568"/>
          <w:tab w:val="left" w:pos="1134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Сумма баллов</w:t>
      </w:r>
    </w:p>
    <w:p w:rsidR="00DC4AC6" w:rsidRDefault="009C21AE">
      <w:pPr>
        <w:tabs>
          <w:tab w:val="left" w:pos="426"/>
          <w:tab w:val="left" w:pos="568"/>
          <w:tab w:val="left" w:pos="1134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Назначено (1 - общее отделение, 2 - бокс)</w:t>
      </w:r>
    </w:p>
    <w:p w:rsidR="00DC4AC6" w:rsidRDefault="009C21AE">
      <w:pPr>
        <w:tabs>
          <w:tab w:val="left" w:pos="426"/>
          <w:tab w:val="left" w:pos="568"/>
          <w:tab w:val="left" w:pos="1134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Предоставлено (1 - общее отделение, 2 - бокс)</w:t>
      </w:r>
    </w:p>
    <w:p w:rsidR="00DC4AC6" w:rsidRDefault="00DC4AC6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sz w:val="24"/>
          <w:szCs w:val="24"/>
        </w:rPr>
        <w:t>Т а б л и ц а  3</w:t>
      </w: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Формализованный информационный бланк</w:t>
      </w: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для включения детей 1-3 лет, перенесших ОСЛТБ при ОРВИ,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 группу риска по респираторным аллергозам</w:t>
      </w:r>
    </w:p>
    <w:p w:rsidR="00DC4AC6" w:rsidRDefault="00DC4AC6">
      <w:pPr>
        <w:tabs>
          <w:tab w:val="left" w:pos="426"/>
          <w:tab w:val="left" w:pos="568"/>
          <w:tab w:val="left" w:pos="1134"/>
          <w:tab w:val="left" w:pos="6096"/>
        </w:tabs>
        <w:spacing w:line="120" w:lineRule="exact"/>
        <w:ind w:firstLine="567"/>
        <w:jc w:val="center"/>
        <w:rPr>
          <w:b/>
          <w:bCs/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I. Паспортная часть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Номер истории болезни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Дата заполнения</w:t>
      </w:r>
    </w:p>
    <w:p w:rsidR="00DC4AC6" w:rsidRDefault="009C21AE">
      <w:pPr>
        <w:tabs>
          <w:tab w:val="left" w:pos="426"/>
          <w:tab w:val="left" w:pos="709"/>
          <w:tab w:val="left" w:pos="1134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Фамилия и имя ребенка 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Дата рождения 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Возраст</w:t>
      </w:r>
    </w:p>
    <w:p w:rsidR="00DC4AC6" w:rsidRDefault="009C21AE">
      <w:pPr>
        <w:tabs>
          <w:tab w:val="left" w:pos="426"/>
          <w:tab w:val="left" w:pos="709"/>
          <w:tab w:val="left" w:pos="1134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Домашний адрес</w:t>
      </w:r>
    </w:p>
    <w:p w:rsidR="00DC4AC6" w:rsidRDefault="009C21AE">
      <w:pPr>
        <w:tabs>
          <w:tab w:val="left" w:pos="426"/>
          <w:tab w:val="left" w:pos="709"/>
          <w:tab w:val="left" w:pos="1134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Номер поликлиники</w:t>
      </w:r>
    </w:p>
    <w:p w:rsidR="00DC4AC6" w:rsidRDefault="00DC4AC6">
      <w:pPr>
        <w:tabs>
          <w:tab w:val="left" w:pos="426"/>
          <w:tab w:val="left" w:pos="568"/>
          <w:tab w:val="left" w:pos="1134"/>
          <w:tab w:val="left" w:pos="6096"/>
        </w:tabs>
        <w:spacing w:line="120" w:lineRule="exact"/>
        <w:ind w:firstLine="567"/>
        <w:jc w:val="center"/>
        <w:rPr>
          <w:b/>
          <w:bCs/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II. Анамнестические данные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Месяц рождения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VIII, IX</w:t>
      </w:r>
      <w:r>
        <w:rPr>
          <w:sz w:val="24"/>
          <w:szCs w:val="24"/>
        </w:rPr>
        <w:tab/>
        <w:t>-3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I, XII</w:t>
      </w:r>
      <w:r>
        <w:rPr>
          <w:sz w:val="24"/>
          <w:szCs w:val="24"/>
        </w:rPr>
        <w:tab/>
        <w:t>-2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IV, V</w:t>
      </w:r>
      <w:r>
        <w:rPr>
          <w:sz w:val="24"/>
          <w:szCs w:val="24"/>
        </w:rPr>
        <w:tab/>
        <w:t>0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II, III, VII, XI</w:t>
      </w:r>
      <w:r>
        <w:rPr>
          <w:sz w:val="24"/>
          <w:szCs w:val="24"/>
        </w:rPr>
        <w:tab/>
        <w:t>+1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VI, X</w:t>
      </w:r>
      <w:r>
        <w:rPr>
          <w:sz w:val="24"/>
          <w:szCs w:val="24"/>
        </w:rPr>
        <w:tab/>
        <w:t>+2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Масса при рождении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3000-3999 г</w:t>
      </w:r>
      <w:r>
        <w:rPr>
          <w:sz w:val="24"/>
          <w:szCs w:val="24"/>
        </w:rPr>
        <w:tab/>
        <w:t>-1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менее 3000 и 4000 и более</w:t>
      </w:r>
      <w:r>
        <w:rPr>
          <w:sz w:val="24"/>
          <w:szCs w:val="24"/>
        </w:rPr>
        <w:tab/>
        <w:t>+2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Количество ОРВИ в анамнезе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от 0 до 9</w:t>
      </w:r>
      <w:r>
        <w:rPr>
          <w:sz w:val="24"/>
          <w:szCs w:val="24"/>
        </w:rPr>
        <w:tab/>
        <w:t>-1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10 и более</w:t>
      </w:r>
      <w:r>
        <w:rPr>
          <w:sz w:val="24"/>
          <w:szCs w:val="24"/>
        </w:rPr>
        <w:tab/>
        <w:t>+2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568"/>
          <w:tab w:val="left" w:pos="1134"/>
          <w:tab w:val="left" w:pos="6096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II. Аллергоанамнез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Непереносимость облигатных аллергенов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нет</w:t>
      </w:r>
      <w:r>
        <w:rPr>
          <w:sz w:val="24"/>
          <w:szCs w:val="24"/>
        </w:rPr>
        <w:tab/>
        <w:t>-1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любых, кроме цитрусовых, куры, яиц, рыбы</w:t>
      </w:r>
      <w:r>
        <w:rPr>
          <w:sz w:val="24"/>
          <w:szCs w:val="24"/>
        </w:rPr>
        <w:tab/>
        <w:t>0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цитрусовых, куры, яиц</w:t>
      </w:r>
      <w:r>
        <w:rPr>
          <w:sz w:val="24"/>
          <w:szCs w:val="24"/>
        </w:rPr>
        <w:tab/>
        <w:t>+1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рыбы</w:t>
      </w:r>
      <w:r>
        <w:rPr>
          <w:sz w:val="24"/>
          <w:szCs w:val="24"/>
        </w:rPr>
        <w:tab/>
        <w:t>+3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Квартира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отдельная</w:t>
      </w:r>
      <w:r>
        <w:rPr>
          <w:sz w:val="24"/>
          <w:szCs w:val="24"/>
        </w:rPr>
        <w:tab/>
        <w:t>0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коммунальная</w:t>
      </w:r>
      <w:r>
        <w:rPr>
          <w:sz w:val="24"/>
          <w:szCs w:val="24"/>
        </w:rPr>
        <w:tab/>
        <w:t>+1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Аллергические заболевания у мамы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нет</w:t>
      </w:r>
      <w:r>
        <w:rPr>
          <w:sz w:val="24"/>
          <w:szCs w:val="24"/>
        </w:rPr>
        <w:tab/>
        <w:t>-1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астма и/или респираторные аллергозы, 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в т.ч. в сочетании с нереспираторными проявлениями</w:t>
      </w:r>
      <w:r>
        <w:rPr>
          <w:sz w:val="24"/>
          <w:szCs w:val="24"/>
        </w:rPr>
        <w:tab/>
        <w:t>+1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нереспираторные проявления</w:t>
      </w:r>
      <w:r>
        <w:rPr>
          <w:sz w:val="24"/>
          <w:szCs w:val="24"/>
        </w:rPr>
        <w:tab/>
        <w:t>+2</w:t>
      </w:r>
    </w:p>
    <w:p w:rsidR="00DC4AC6" w:rsidRDefault="009C21AE">
      <w:pPr>
        <w:tabs>
          <w:tab w:val="left" w:pos="426"/>
          <w:tab w:val="left" w:pos="568"/>
          <w:tab w:val="left" w:pos="1134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Аллергические заболевания у родителей отца 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нет</w:t>
      </w:r>
      <w:r>
        <w:rPr>
          <w:sz w:val="24"/>
          <w:szCs w:val="24"/>
        </w:rPr>
        <w:tab/>
        <w:t>0</w:t>
      </w:r>
    </w:p>
    <w:p w:rsidR="00DC4AC6" w:rsidRDefault="009C21AE">
      <w:pPr>
        <w:tabs>
          <w:tab w:val="left" w:pos="426"/>
          <w:tab w:val="left" w:pos="568"/>
          <w:tab w:val="left" w:pos="1134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есть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+1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Отягощенная аллергонаследственность по обеим линиям 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нет</w:t>
      </w:r>
      <w:r>
        <w:rPr>
          <w:sz w:val="24"/>
          <w:szCs w:val="24"/>
        </w:rPr>
        <w:tab/>
        <w:t>0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есть</w:t>
      </w:r>
      <w:r>
        <w:rPr>
          <w:sz w:val="24"/>
          <w:szCs w:val="24"/>
        </w:rPr>
        <w:tab/>
        <w:t>+3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Профвредность у матери до и во время беременности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нет или неингаляционная</w:t>
      </w:r>
      <w:r>
        <w:rPr>
          <w:sz w:val="24"/>
          <w:szCs w:val="24"/>
        </w:rPr>
        <w:tab/>
        <w:t>-1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ингаляционная</w:t>
      </w:r>
      <w:r>
        <w:rPr>
          <w:sz w:val="24"/>
          <w:szCs w:val="24"/>
        </w:rPr>
        <w:tab/>
        <w:t>0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ингаляционная + прочая</w:t>
      </w:r>
      <w:r>
        <w:rPr>
          <w:sz w:val="24"/>
          <w:szCs w:val="24"/>
        </w:rPr>
        <w:tab/>
        <w:t>+3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Профессиональная вредность у отца до рождения ребенка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нет или неингаляционная</w:t>
      </w:r>
      <w:r>
        <w:rPr>
          <w:sz w:val="24"/>
          <w:szCs w:val="24"/>
        </w:rPr>
        <w:tab/>
        <w:t>-1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ингаляционная</w:t>
      </w:r>
      <w:r>
        <w:rPr>
          <w:sz w:val="24"/>
          <w:szCs w:val="24"/>
        </w:rPr>
        <w:tab/>
        <w:t>+2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ингаляционная + прочая</w:t>
      </w:r>
      <w:r>
        <w:rPr>
          <w:sz w:val="24"/>
          <w:szCs w:val="24"/>
        </w:rPr>
        <w:tab/>
        <w:t>+3</w:t>
      </w:r>
    </w:p>
    <w:p w:rsidR="00DC4AC6" w:rsidRDefault="00DC4AC6">
      <w:pPr>
        <w:tabs>
          <w:tab w:val="left" w:pos="426"/>
          <w:tab w:val="left" w:pos="568"/>
          <w:tab w:val="left" w:pos="1134"/>
          <w:tab w:val="left" w:pos="6096"/>
        </w:tabs>
        <w:spacing w:line="120" w:lineRule="exact"/>
        <w:ind w:firstLine="567"/>
        <w:jc w:val="center"/>
        <w:rPr>
          <w:b/>
          <w:bCs/>
          <w:sz w:val="24"/>
          <w:szCs w:val="24"/>
        </w:rPr>
      </w:pPr>
    </w:p>
    <w:p w:rsidR="00DC4AC6" w:rsidRDefault="009C21AE">
      <w:pPr>
        <w:tabs>
          <w:tab w:val="left" w:pos="426"/>
          <w:tab w:val="left" w:pos="568"/>
          <w:tab w:val="left" w:pos="1134"/>
          <w:tab w:val="left" w:pos="6096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III. Медикаментозная терапия на догоспитальном этапе</w:t>
      </w:r>
    </w:p>
    <w:p w:rsidR="00DC4AC6" w:rsidRDefault="009C21AE">
      <w:pPr>
        <w:tabs>
          <w:tab w:val="left" w:pos="426"/>
          <w:tab w:val="left" w:pos="568"/>
          <w:tab w:val="left" w:pos="1134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Применение эфедрина 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не было</w:t>
      </w:r>
      <w:r>
        <w:rPr>
          <w:sz w:val="24"/>
          <w:szCs w:val="24"/>
        </w:rPr>
        <w:tab/>
        <w:t>0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было</w:t>
      </w:r>
      <w:r>
        <w:rPr>
          <w:sz w:val="24"/>
          <w:szCs w:val="24"/>
        </w:rPr>
        <w:tab/>
        <w:t>+1</w:t>
      </w:r>
    </w:p>
    <w:p w:rsidR="00DC4AC6" w:rsidRDefault="009C21AE">
      <w:pPr>
        <w:tabs>
          <w:tab w:val="left" w:pos="426"/>
          <w:tab w:val="left" w:pos="568"/>
          <w:tab w:val="left" w:pos="1134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Применение эуфиллина 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не было</w:t>
      </w:r>
      <w:r>
        <w:rPr>
          <w:sz w:val="24"/>
          <w:szCs w:val="24"/>
        </w:rPr>
        <w:tab/>
        <w:t>0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было</w:t>
      </w:r>
      <w:r>
        <w:rPr>
          <w:sz w:val="24"/>
          <w:szCs w:val="24"/>
        </w:rPr>
        <w:tab/>
        <w:t>+1</w:t>
      </w:r>
    </w:p>
    <w:p w:rsidR="00DC4AC6" w:rsidRDefault="00DC4AC6">
      <w:pPr>
        <w:tabs>
          <w:tab w:val="left" w:pos="426"/>
          <w:tab w:val="left" w:pos="568"/>
          <w:tab w:val="left" w:pos="1134"/>
          <w:tab w:val="left" w:pos="6096"/>
        </w:tabs>
        <w:spacing w:line="120" w:lineRule="exact"/>
        <w:ind w:firstLine="567"/>
        <w:jc w:val="center"/>
        <w:rPr>
          <w:b/>
          <w:bCs/>
          <w:sz w:val="24"/>
          <w:szCs w:val="24"/>
        </w:rPr>
      </w:pPr>
    </w:p>
    <w:p w:rsidR="00DC4AC6" w:rsidRDefault="009C21AE">
      <w:pPr>
        <w:tabs>
          <w:tab w:val="left" w:pos="426"/>
          <w:tab w:val="left" w:pos="568"/>
          <w:tab w:val="left" w:pos="1134"/>
          <w:tab w:val="left" w:pos="6096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IV. Клинические признаки</w:t>
      </w:r>
    </w:p>
    <w:p w:rsidR="00DC4AC6" w:rsidRDefault="009C21AE">
      <w:pPr>
        <w:tabs>
          <w:tab w:val="left" w:pos="426"/>
          <w:tab w:val="left" w:pos="568"/>
          <w:tab w:val="left" w:pos="1134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Наличие ринита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не было</w:t>
      </w:r>
      <w:r>
        <w:rPr>
          <w:sz w:val="24"/>
          <w:szCs w:val="24"/>
        </w:rPr>
        <w:tab/>
        <w:t>+1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был</w:t>
      </w:r>
      <w:r>
        <w:rPr>
          <w:sz w:val="24"/>
          <w:szCs w:val="24"/>
        </w:rPr>
        <w:tab/>
        <w:t>0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Анализ данных клинико-катамнестического исследования показал, что дети, перенесшие ОСЛТ и ОСЛТБ в возрасте до 3 лет, формируют клинику РА к 5-8 годам в 33,6% случаев (БА в 10,9%), при этом отме-чается склонность к формированию именно респираторной аллергии. Дети с рецидивирующим течением ОСЛТ и ОСЛТБ формируют респи-раторные аллергозы в 3 раза чаще, чем дети с первичной формой ОСЛТ и ОСЛТБ. У детей с РА, имевших эпизод ОСЛТБ, значительно чаще диагностируется гиперреактивность бронхов. При этом паторецепторный компонент в 3 раза чаще встречается у детей с рецидивирующим ОСЛТ и ОСЛТБ, что не исключает варианта генетически детерминированной гиперреактивности дыхательных путей. Это дает возможность рассмат-ривать синдром ОСЛТ и ОСЛТБ как вариант изначально существующей у данного пациента дисфункции мембрано-рецепторного комплекса.</w:t>
      </w: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Из причинно-значимых аллергенов доминировала бытовая сенсиби-лизация (73,5%): при этом домашняя пыль как единственно значимый аллерген имела место у 52,9% детей, пыльцевая сенсибилизация -        у 23,5%, пищевая - у 11,8%, лекарственная - у 2,9%.</w:t>
      </w: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Мальчики несколько чаще (35,5%), чем девочки (28,0%) формиро-вали клинику респираторных аллергозов, однако статистически значи-мой зависимости от пола исследуемого и риском развития респиратор-ного аллергоза не отмечено. </w:t>
      </w: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Для выявления факторов риска, способствующих развитию респи-раторных аллергозов, на группе "обучения" были ретроспективно изуче-ны данные, относящиеся к острому периоду ОСЛТ и ОСЛТБ при ОРВИ. Всего по карте исследования было изучено 86 признаков, отражающих современное представление об этиопатогенетических закономерностях течения ОСЛТ и ОСЛТБ при ОРВИ.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После первичного анализа признаков в 2 сравниваемых группах РА и "здоровых" из 86 признаков было оставлено 69 (17 несли сопутст-вующую информацию, либо были неинформативными). Затем, используя угрозометрический подход, разработанный профессором Е.В.Гублером (1984, 1990, 1995) и под его руководством, совместно с научным сотруд-ником лаборатории АСУ Е.З.Проскуро, методом статистической непара-метрической процедуры распознавания были проанализированы 69 приз-наков с распределением их в 2 исследуемых группах и выявлением ин-формативности и достоверности. По методике НПР для всех градаций 69 признаков были вычислены диагностические коэффициенты (ДК). Диагностический коэффициент представляет собой увеличенный в 5 раз логарифм отношения частностей изучаемого признака при альтернатив-ных состояниях: "здоровые" - А</w:t>
      </w:r>
      <w:r>
        <w:rPr>
          <w:position w:val="-4"/>
          <w:sz w:val="24"/>
          <w:szCs w:val="24"/>
        </w:rPr>
        <w:t>1</w:t>
      </w:r>
      <w:r>
        <w:rPr>
          <w:sz w:val="24"/>
          <w:szCs w:val="24"/>
        </w:rPr>
        <w:t xml:space="preserve"> и "респираторные аллергозы" - А</w:t>
      </w:r>
      <w:r>
        <w:rPr>
          <w:position w:val="-4"/>
          <w:sz w:val="24"/>
          <w:szCs w:val="24"/>
        </w:rPr>
        <w:t>2</w:t>
      </w:r>
      <w:r>
        <w:rPr>
          <w:sz w:val="24"/>
          <w:szCs w:val="24"/>
        </w:rPr>
        <w:t>.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В результате удалось ранжировать 23 прогностически значимых признака по их роли в прогнозировании, и следовательно, в развитии респираторного аллергоза. Была построена диагностическая таблица      в виде формализованного информационного бланка - ФИБ-113-1 и 2 прогностические таблицы в виде формализованных информационных бланков - ФИБ-113-2</w:t>
      </w:r>
      <w:r>
        <w:rPr>
          <w:position w:val="6"/>
          <w:sz w:val="24"/>
          <w:szCs w:val="24"/>
        </w:rPr>
        <w:t>а</w:t>
      </w:r>
      <w:r>
        <w:rPr>
          <w:sz w:val="24"/>
          <w:szCs w:val="24"/>
        </w:rPr>
        <w:t xml:space="preserve"> и ФИБ-113-2</w:t>
      </w:r>
      <w:r>
        <w:rPr>
          <w:position w:val="6"/>
          <w:sz w:val="24"/>
          <w:szCs w:val="24"/>
        </w:rPr>
        <w:t>б</w:t>
      </w:r>
      <w:r>
        <w:rPr>
          <w:sz w:val="24"/>
          <w:szCs w:val="24"/>
        </w:rPr>
        <w:t>. Этот этап работы проводился на IBM PC с помощью прикладных программ MJSS.</w:t>
      </w: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В ФИБе 113-1 и 113-2</w:t>
      </w:r>
      <w:r>
        <w:rPr>
          <w:position w:val="6"/>
          <w:sz w:val="24"/>
          <w:szCs w:val="24"/>
        </w:rPr>
        <w:t>а,б</w:t>
      </w:r>
      <w:r>
        <w:rPr>
          <w:sz w:val="24"/>
          <w:szCs w:val="24"/>
        </w:rPr>
        <w:t xml:space="preserve"> признаки расположены не в порядке убы-вающей информативности, а в порядке традиционно сложившихся        в клинике данных анамнеза, клинического и лабораторного обследова-ния. ФИБы состоят из 4 разделов, каждый раздел состоит из нескольких признаков. Каждый признак имеет соответствующую бальную оценку, после суммации которых, исследуемый ребенок может быть отнесен     к той или иной группе.</w:t>
      </w: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Вычисленные с помощью программы "Экзамен" на IBM PC суммы диагностических коэффициентов (ДК) для всех детей, входящих в груп-пу обучения, позволили определить пороговые значения сумм диагности-ческих коэффициентов и создать решающее правило для диагностики "аллергического" варианта ОСЛТ и ОСЛТБ при ОРВИ и прогноза риска возникновения респираторного аллергоза при выписке. </w:t>
      </w: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ФИБ-113-1 предназначен для выделения "аллергического" и "ин-фекционного" вариантов ОСЛТ и ОСЛТБ при ОРВИ при первичном ос-мотре ребенка. Заполняется, как правило, врачом приемного отделения (табл. 2). ФИБ-113-1 содержит следующие разделы: раздел паспортных данных, данных анамнеза, аллергоанамнеза, терапии, осуществляемой на догоспитальном этапе и данных клинического исследования.</w:t>
      </w: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После суммации ДК, больного можно отнести к одному из выде-ленных вариантов. При сумме ДК, равной -2 и менее, больного можно отнести к "инфекционному" варианту. При сумме ДК, равной -1 и бо-лее, к "аллергическому". Рекомендуемые правила принятия тактических решений: при сумме баллов -2 и менее, госпитализация в общее от-деление, при сумме баллов -1 и более - в боксовое.</w:t>
      </w: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Задача ФИБа 113-2</w:t>
      </w:r>
      <w:r>
        <w:rPr>
          <w:position w:val="6"/>
          <w:sz w:val="24"/>
          <w:szCs w:val="24"/>
        </w:rPr>
        <w:t>а,б</w:t>
      </w:r>
      <w:r>
        <w:rPr>
          <w:sz w:val="24"/>
          <w:szCs w:val="24"/>
        </w:rPr>
        <w:t xml:space="preserve"> - оценка состояния ребенка с целью окон-чательного прогноза и решения вопроса о диспансерном наблюдении пе-диатром или специалистом-аллергологом.</w:t>
      </w: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ФИБ-2</w:t>
      </w:r>
      <w:r>
        <w:rPr>
          <w:position w:val="6"/>
          <w:sz w:val="24"/>
          <w:szCs w:val="24"/>
        </w:rPr>
        <w:t>а</w:t>
      </w:r>
      <w:r>
        <w:rPr>
          <w:sz w:val="24"/>
          <w:szCs w:val="24"/>
        </w:rPr>
        <w:t xml:space="preserve"> (табл. 3) имеет 5 разделов. I раздел - паспортные данные, II раздел - "Анамнестические данные". В отличие от ФИБа 113-1, он содержит 3 признака: месяц рождения, массу тела при рождении и час-тоту перенесенных ОРВИ. В разделе "Аллергоанамнез" (III) - 2 приз-нака:   непереносимость  облигатных  аллергенов  и  профессиональная 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вредность у матери до и во время беременности. IV раздел - "Клиниче-ские признаки". Он состоит из 3 признаков, оценивающих состояние ребенка как при поступлении, так и при выписке, например, длитель-ность сохранения лихорадки и продолжительность койко-дня. V раздел - "Лабораторные данные" включает определение общего иммуноглобулина Е в плазме крови, являющегося важным лабораторным тестом оценки атопического процесса в целом.</w:t>
      </w:r>
    </w:p>
    <w:p w:rsidR="00DC4AC6" w:rsidRDefault="00DC4AC6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sz w:val="24"/>
          <w:szCs w:val="24"/>
        </w:rPr>
        <w:t>Т а б л и ц а  2</w:t>
      </w: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Формализованный информационный бланк</w:t>
      </w:r>
    </w:p>
    <w:p w:rsidR="00DC4AC6" w:rsidRDefault="009C21AE">
      <w:pPr>
        <w:tabs>
          <w:tab w:val="left" w:pos="426"/>
          <w:tab w:val="left" w:pos="709"/>
          <w:tab w:val="left" w:pos="1135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для диагностики "аллергического" варианта ОСЛТБ при ОРВИ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у детей 1-3 лет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  <w:r>
        <w:rPr>
          <w:sz w:val="24"/>
          <w:szCs w:val="24"/>
        </w:rPr>
        <w:sym w:font="Symbol" w:char="F0BE"/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I. Анамнестические данные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Угроза прерывания беременности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не было</w:t>
      </w:r>
      <w:r>
        <w:rPr>
          <w:sz w:val="24"/>
          <w:szCs w:val="24"/>
        </w:rPr>
        <w:tab/>
        <w:t>-1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была </w:t>
      </w:r>
      <w:r>
        <w:rPr>
          <w:sz w:val="24"/>
          <w:szCs w:val="24"/>
        </w:rPr>
        <w:tab/>
        <w:t>+1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Токсикоз II половины беременности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не было</w:t>
      </w:r>
      <w:r>
        <w:rPr>
          <w:sz w:val="24"/>
          <w:szCs w:val="24"/>
        </w:rPr>
        <w:tab/>
        <w:t>-1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был</w:t>
      </w:r>
      <w:r>
        <w:rPr>
          <w:sz w:val="24"/>
          <w:szCs w:val="24"/>
        </w:rPr>
        <w:tab/>
        <w:t>+1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Месяц рождения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VIII, IX</w:t>
      </w:r>
      <w:r>
        <w:rPr>
          <w:sz w:val="24"/>
          <w:szCs w:val="24"/>
        </w:rPr>
        <w:tab/>
        <w:t>-3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I, XII</w:t>
      </w:r>
      <w:r>
        <w:rPr>
          <w:sz w:val="24"/>
          <w:szCs w:val="24"/>
        </w:rPr>
        <w:tab/>
        <w:t>-2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IV, V</w:t>
      </w:r>
      <w:r>
        <w:rPr>
          <w:sz w:val="24"/>
          <w:szCs w:val="24"/>
        </w:rPr>
        <w:tab/>
        <w:t>0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II, III, VII, XI</w:t>
      </w:r>
      <w:r>
        <w:rPr>
          <w:sz w:val="24"/>
          <w:szCs w:val="24"/>
        </w:rPr>
        <w:tab/>
        <w:t>+1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VI, X</w:t>
      </w:r>
      <w:r>
        <w:rPr>
          <w:sz w:val="24"/>
          <w:szCs w:val="24"/>
        </w:rPr>
        <w:tab/>
        <w:t>+2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Масса при рождении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3000-3999 г</w:t>
      </w:r>
      <w:r>
        <w:rPr>
          <w:sz w:val="24"/>
          <w:szCs w:val="24"/>
        </w:rPr>
        <w:tab/>
        <w:t>-1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менее 3000 и 4000 и более</w:t>
      </w:r>
      <w:r>
        <w:rPr>
          <w:sz w:val="24"/>
          <w:szCs w:val="24"/>
        </w:rPr>
        <w:tab/>
        <w:t>+2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Количество ОРВИ в анамнезе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от 0 до 9</w:t>
      </w:r>
      <w:r>
        <w:rPr>
          <w:sz w:val="24"/>
          <w:szCs w:val="24"/>
        </w:rPr>
        <w:tab/>
        <w:t>-1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10 и более</w:t>
      </w:r>
      <w:r>
        <w:rPr>
          <w:sz w:val="24"/>
          <w:szCs w:val="24"/>
        </w:rPr>
        <w:tab/>
        <w:t>+2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Температура в момент заболевания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36.0°С-36.9°С</w:t>
      </w:r>
      <w:r>
        <w:rPr>
          <w:sz w:val="24"/>
          <w:szCs w:val="24"/>
        </w:rPr>
        <w:tab/>
        <w:t>+2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37.0°С-39.9°С</w:t>
      </w:r>
      <w:r>
        <w:rPr>
          <w:sz w:val="24"/>
          <w:szCs w:val="24"/>
        </w:rPr>
        <w:tab/>
        <w:t>-1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>День болезни на момент госпитализации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1-2-й день</w:t>
      </w:r>
      <w:r>
        <w:rPr>
          <w:sz w:val="24"/>
          <w:szCs w:val="24"/>
        </w:rPr>
        <w:tab/>
        <w:t>+1</w:t>
      </w:r>
    </w:p>
    <w:p w:rsidR="00DC4AC6" w:rsidRDefault="009C21AE">
      <w:pPr>
        <w:tabs>
          <w:tab w:val="left" w:pos="426"/>
          <w:tab w:val="left" w:pos="568"/>
          <w:tab w:val="left" w:pos="6096"/>
        </w:tabs>
        <w:spacing w:line="240" w:lineRule="exact"/>
        <w:ind w:firstLine="567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3-й день и более</w:t>
      </w:r>
      <w:r>
        <w:rPr>
          <w:sz w:val="24"/>
          <w:szCs w:val="24"/>
        </w:rPr>
        <w:tab/>
        <w:t>-1</w:t>
      </w:r>
    </w:p>
    <w:p w:rsidR="00DC4AC6" w:rsidRDefault="00DC4AC6">
      <w:pPr>
        <w:tabs>
          <w:tab w:val="left" w:pos="426"/>
          <w:tab w:val="left" w:pos="568"/>
          <w:tab w:val="left" w:pos="1134"/>
          <w:tab w:val="left" w:pos="6096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</w:p>
    <w:p w:rsidR="00DC4AC6" w:rsidRDefault="00DC4AC6">
      <w:pPr>
        <w:ind w:firstLine="567"/>
        <w:rPr>
          <w:sz w:val="24"/>
          <w:szCs w:val="24"/>
          <w:lang w:val="en-US"/>
        </w:rPr>
      </w:pPr>
    </w:p>
    <w:p w:rsidR="00DC4AC6" w:rsidRDefault="00DC4AC6">
      <w:pPr>
        <w:ind w:firstLine="567"/>
        <w:rPr>
          <w:sz w:val="24"/>
          <w:szCs w:val="24"/>
          <w:lang w:val="en-US"/>
        </w:rPr>
      </w:pPr>
    </w:p>
    <w:p w:rsidR="00DC4AC6" w:rsidRDefault="00DC4AC6">
      <w:pPr>
        <w:ind w:firstLine="567"/>
        <w:rPr>
          <w:sz w:val="24"/>
          <w:szCs w:val="24"/>
          <w:lang w:val="en-US"/>
        </w:rPr>
      </w:pPr>
    </w:p>
    <w:p w:rsidR="00DC4AC6" w:rsidRDefault="00DC4AC6">
      <w:pPr>
        <w:ind w:firstLine="567"/>
        <w:rPr>
          <w:sz w:val="24"/>
          <w:szCs w:val="24"/>
          <w:lang w:val="en-US"/>
        </w:rPr>
      </w:pPr>
    </w:p>
    <w:p w:rsidR="00DC4AC6" w:rsidRDefault="00DC4AC6">
      <w:pPr>
        <w:ind w:firstLine="567"/>
        <w:rPr>
          <w:sz w:val="24"/>
          <w:szCs w:val="24"/>
          <w:lang w:val="en-US"/>
        </w:rPr>
      </w:pPr>
    </w:p>
    <w:p w:rsidR="00DC4AC6" w:rsidRDefault="00DC4AC6">
      <w:pPr>
        <w:ind w:firstLine="567"/>
        <w:rPr>
          <w:sz w:val="24"/>
          <w:szCs w:val="24"/>
          <w:lang w:val="en-US"/>
        </w:rPr>
      </w:pPr>
    </w:p>
    <w:p w:rsidR="00DC4AC6" w:rsidRDefault="00DC4AC6">
      <w:pPr>
        <w:ind w:firstLine="567"/>
        <w:rPr>
          <w:sz w:val="24"/>
          <w:szCs w:val="24"/>
          <w:lang w:val="en-US"/>
        </w:rPr>
      </w:pPr>
    </w:p>
    <w:p w:rsidR="00DC4AC6" w:rsidRDefault="00DC4AC6">
      <w:pPr>
        <w:ind w:firstLine="567"/>
        <w:rPr>
          <w:sz w:val="24"/>
          <w:szCs w:val="24"/>
          <w:lang w:val="en-US"/>
        </w:rPr>
      </w:pPr>
    </w:p>
    <w:p w:rsidR="00DC4AC6" w:rsidRDefault="00DC4AC6">
      <w:pPr>
        <w:ind w:firstLine="567"/>
        <w:rPr>
          <w:sz w:val="24"/>
          <w:szCs w:val="24"/>
          <w:lang w:val="en-US"/>
        </w:rPr>
      </w:pPr>
    </w:p>
    <w:p w:rsidR="00DC4AC6" w:rsidRDefault="00DC4AC6">
      <w:pPr>
        <w:ind w:firstLine="567"/>
        <w:rPr>
          <w:sz w:val="24"/>
          <w:szCs w:val="24"/>
          <w:lang w:val="en-US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СПИСОК РАБОТ,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ОПУБЛИКОВАННЫХ ПО ТЕМЕ ДИССЕРТАЦИИ</w:t>
      </w:r>
    </w:p>
    <w:p w:rsidR="00DC4AC6" w:rsidRDefault="00DC4AC6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1.</w:t>
      </w:r>
      <w:r>
        <w:rPr>
          <w:sz w:val="24"/>
          <w:szCs w:val="24"/>
        </w:rPr>
        <w:tab/>
      </w:r>
      <w:r>
        <w:rPr>
          <w:i/>
          <w:iCs/>
          <w:sz w:val="24"/>
          <w:szCs w:val="24"/>
        </w:rPr>
        <w:t>Галустян А.Н.</w:t>
      </w:r>
      <w:r>
        <w:rPr>
          <w:sz w:val="24"/>
          <w:szCs w:val="24"/>
        </w:rPr>
        <w:t xml:space="preserve"> Прогностические алгоритмы возможности формирова-ния респираторных аллергозов у детей с острым стенозирующим ларинготра-хеобронхитом при ОРВИ. В кн.: Медико-социальные проблемы охраны здо-ровья на этапе перехода к страховой медицине. - СПб, 1992. - С.120-122.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2.</w:t>
      </w:r>
      <w:r>
        <w:rPr>
          <w:sz w:val="24"/>
          <w:szCs w:val="24"/>
        </w:rPr>
        <w:tab/>
      </w:r>
      <w:r>
        <w:rPr>
          <w:i/>
          <w:iCs/>
          <w:sz w:val="24"/>
          <w:szCs w:val="24"/>
        </w:rPr>
        <w:t>Галустян А.Н., Мартынкин А.С.</w:t>
      </w:r>
      <w:r>
        <w:rPr>
          <w:sz w:val="24"/>
          <w:szCs w:val="24"/>
        </w:rPr>
        <w:t xml:space="preserve"> О риске формирования респиратор-ных аллергозов при стенозах гортани вирусной этиологии. В кн.: Актуальные проблемы инфекционной патологии. Ч. 1. Кишечные и респираторные инфек-ции. - СПб, 1993. - С.111.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3.</w:t>
      </w:r>
      <w:r>
        <w:rPr>
          <w:sz w:val="24"/>
          <w:szCs w:val="24"/>
        </w:rPr>
        <w:tab/>
      </w:r>
      <w:r>
        <w:rPr>
          <w:i/>
          <w:iCs/>
          <w:sz w:val="24"/>
          <w:szCs w:val="24"/>
        </w:rPr>
        <w:t>Галустян А.Н., Мартынкин А.С.</w:t>
      </w:r>
      <w:r>
        <w:rPr>
          <w:sz w:val="24"/>
          <w:szCs w:val="24"/>
        </w:rPr>
        <w:t xml:space="preserve"> Роль общего иммуноглобулина Е       в патогенезе острых стенозирующих ларинготрахеитов при ОРВИ. В кн.: Акту-альные вопросы клиники, лечения и профилактики инфекционных заболеваний у детей. Сборник научных трудов. - СПб, 1996. - С.157-161.</w:t>
      </w:r>
    </w:p>
    <w:p w:rsidR="00DC4AC6" w:rsidRDefault="009C21AE">
      <w:pPr>
        <w:tabs>
          <w:tab w:val="left" w:pos="426"/>
          <w:tab w:val="left" w:pos="709"/>
        </w:tabs>
        <w:spacing w:line="240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:rsidR="00DC4AC6" w:rsidRDefault="00DC4AC6">
      <w:pPr>
        <w:ind w:firstLine="567"/>
        <w:rPr>
          <w:sz w:val="24"/>
          <w:szCs w:val="24"/>
          <w:lang w:val="en-US"/>
        </w:rPr>
      </w:pPr>
      <w:bookmarkStart w:id="0" w:name="_GoBack"/>
      <w:bookmarkEnd w:id="0"/>
    </w:p>
    <w:sectPr w:rsidR="00DC4AC6">
      <w:headerReference w:type="default" r:id="rId6"/>
      <w:pgSz w:w="16834" w:h="11913" w:orient="landscape"/>
      <w:pgMar w:top="1134" w:right="1134" w:bottom="1134" w:left="1134" w:header="0" w:footer="0" w:gutter="0"/>
      <w:paperSrc w:first="1" w:other="1"/>
      <w:pgNumType w:start="1"/>
      <w:cols w:space="1814" w:equalWidth="0">
        <w:col w:w="14566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C4AC6" w:rsidRDefault="009C21AE">
      <w:r>
        <w:separator/>
      </w:r>
    </w:p>
  </w:endnote>
  <w:endnote w:type="continuationSeparator" w:id="0">
    <w:p w:rsidR="00DC4AC6" w:rsidRDefault="009C21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TCourierVK/Cyrillic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C4AC6" w:rsidRDefault="009C21AE">
      <w:r>
        <w:separator/>
      </w:r>
    </w:p>
  </w:footnote>
  <w:footnote w:type="continuationSeparator" w:id="0">
    <w:p w:rsidR="00DC4AC6" w:rsidRDefault="009C21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4AC6" w:rsidRDefault="00DC4AC6">
    <w:pPr>
      <w:pStyle w:val="a5"/>
      <w:jc w:val="center"/>
      <w:rPr>
        <w:rFonts w:ascii="NTCourierVK/Cyrillic" w:hAnsi="NTCourierVK/Cyrillic" w:cs="NTCourierVK/Cyrillic"/>
        <w:sz w:val="22"/>
        <w:szCs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C21AE"/>
    <w:rsid w:val="000C17EB"/>
    <w:rsid w:val="009C21AE"/>
    <w:rsid w:val="00DC4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81DC4D26-44C5-4BE6-AACC-3EF3134BF0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spacing w:before="240"/>
      <w:outlineLvl w:val="0"/>
    </w:pPr>
    <w:rPr>
      <w:rFonts w:ascii="Arial" w:hAnsi="Arial" w:cs="Arial"/>
      <w:b/>
      <w:bCs/>
      <w:sz w:val="24"/>
      <w:szCs w:val="24"/>
      <w:u w:val="single"/>
      <w:lang w:val="en-US"/>
    </w:rPr>
  </w:style>
  <w:style w:type="paragraph" w:customStyle="1" w:styleId="2">
    <w:name w:val="заголовок 2"/>
    <w:basedOn w:val="a"/>
    <w:next w:val="a"/>
    <w:uiPriority w:val="99"/>
    <w:pPr>
      <w:spacing w:before="120"/>
      <w:outlineLvl w:val="1"/>
    </w:pPr>
    <w:rPr>
      <w:rFonts w:ascii="Arial" w:hAnsi="Arial" w:cs="Arial"/>
      <w:b/>
      <w:bCs/>
      <w:sz w:val="24"/>
      <w:szCs w:val="24"/>
      <w:lang w:val="en-US"/>
    </w:rPr>
  </w:style>
  <w:style w:type="paragraph" w:customStyle="1" w:styleId="3">
    <w:name w:val="заголовок 3"/>
    <w:basedOn w:val="a"/>
    <w:next w:val="a3"/>
    <w:uiPriority w:val="99"/>
    <w:pPr>
      <w:ind w:left="360"/>
      <w:outlineLvl w:val="2"/>
    </w:pPr>
    <w:rPr>
      <w:b/>
      <w:bCs/>
      <w:sz w:val="24"/>
      <w:szCs w:val="24"/>
      <w:lang w:val="en-US"/>
    </w:rPr>
  </w:style>
  <w:style w:type="paragraph" w:customStyle="1" w:styleId="4">
    <w:name w:val="заголовок 4"/>
    <w:basedOn w:val="a"/>
    <w:next w:val="a3"/>
    <w:uiPriority w:val="99"/>
    <w:pPr>
      <w:ind w:left="360"/>
      <w:outlineLvl w:val="3"/>
    </w:pPr>
    <w:rPr>
      <w:sz w:val="24"/>
      <w:szCs w:val="24"/>
      <w:u w:val="single"/>
      <w:lang w:val="en-US"/>
    </w:rPr>
  </w:style>
  <w:style w:type="paragraph" w:customStyle="1" w:styleId="5">
    <w:name w:val="заголовок 5"/>
    <w:basedOn w:val="a"/>
    <w:next w:val="a3"/>
    <w:uiPriority w:val="99"/>
    <w:pPr>
      <w:ind w:left="720"/>
      <w:outlineLvl w:val="4"/>
    </w:pPr>
    <w:rPr>
      <w:b/>
      <w:bCs/>
      <w:lang w:val="en-US"/>
    </w:rPr>
  </w:style>
  <w:style w:type="paragraph" w:customStyle="1" w:styleId="6">
    <w:name w:val="заголовок 6"/>
    <w:basedOn w:val="a"/>
    <w:next w:val="a3"/>
    <w:uiPriority w:val="99"/>
    <w:pPr>
      <w:ind w:left="720"/>
      <w:outlineLvl w:val="5"/>
    </w:pPr>
    <w:rPr>
      <w:u w:val="single"/>
      <w:lang w:val="en-US"/>
    </w:rPr>
  </w:style>
  <w:style w:type="paragraph" w:customStyle="1" w:styleId="7">
    <w:name w:val="заголовок 7"/>
    <w:basedOn w:val="a"/>
    <w:next w:val="a3"/>
    <w:uiPriority w:val="99"/>
    <w:pPr>
      <w:ind w:left="720"/>
      <w:outlineLvl w:val="6"/>
    </w:pPr>
    <w:rPr>
      <w:i/>
      <w:iCs/>
      <w:lang w:val="en-US"/>
    </w:rPr>
  </w:style>
  <w:style w:type="paragraph" w:customStyle="1" w:styleId="8">
    <w:name w:val="заголовок 8"/>
    <w:basedOn w:val="a"/>
    <w:next w:val="a3"/>
    <w:uiPriority w:val="99"/>
    <w:pPr>
      <w:ind w:left="720"/>
      <w:outlineLvl w:val="7"/>
    </w:pPr>
    <w:rPr>
      <w:i/>
      <w:iCs/>
      <w:lang w:val="en-US"/>
    </w:rPr>
  </w:style>
  <w:style w:type="paragraph" w:customStyle="1" w:styleId="9">
    <w:name w:val="заголовок 9"/>
    <w:basedOn w:val="a"/>
    <w:next w:val="a3"/>
    <w:uiPriority w:val="99"/>
    <w:pPr>
      <w:ind w:left="720"/>
      <w:outlineLvl w:val="8"/>
    </w:pPr>
    <w:rPr>
      <w:i/>
      <w:iCs/>
      <w:lang w:val="en-US"/>
    </w:rPr>
  </w:style>
  <w:style w:type="character" w:customStyle="1" w:styleId="a4">
    <w:name w:val="Основной шрифт"/>
    <w:uiPriority w:val="99"/>
  </w:style>
  <w:style w:type="paragraph" w:customStyle="1" w:styleId="a3">
    <w:name w:val="Обычный текст с отступом"/>
    <w:basedOn w:val="a"/>
    <w:uiPriority w:val="99"/>
    <w:pPr>
      <w:ind w:left="720"/>
    </w:pPr>
    <w:rPr>
      <w:lang w:val="en-US"/>
    </w:rPr>
  </w:style>
  <w:style w:type="paragraph" w:styleId="a5">
    <w:name w:val="header"/>
    <w:basedOn w:val="a"/>
    <w:link w:val="a6"/>
    <w:uiPriority w:val="99"/>
    <w:pPr>
      <w:tabs>
        <w:tab w:val="center" w:pos="4819"/>
        <w:tab w:val="right" w:pos="9071"/>
      </w:tabs>
    </w:pPr>
    <w:rPr>
      <w:lang w:val="en-US"/>
    </w:rPr>
  </w:style>
  <w:style w:type="character" w:customStyle="1" w:styleId="a6">
    <w:name w:val="Верхний колонтитул Знак"/>
    <w:basedOn w:val="a0"/>
    <w:link w:val="a5"/>
    <w:uiPriority w:val="99"/>
    <w:semiHidden/>
    <w:rPr>
      <w:rFonts w:ascii="Times New Roman" w:hAnsi="Times New Roman" w:cs="Times New Roman"/>
      <w:sz w:val="20"/>
      <w:szCs w:val="20"/>
    </w:rPr>
  </w:style>
  <w:style w:type="character" w:customStyle="1" w:styleId="a7">
    <w:name w:val="знак сноски"/>
    <w:basedOn w:val="a4"/>
    <w:uiPriority w:val="99"/>
    <w:rPr>
      <w:position w:val="6"/>
      <w:sz w:val="16"/>
      <w:szCs w:val="16"/>
    </w:rPr>
  </w:style>
  <w:style w:type="paragraph" w:customStyle="1" w:styleId="a8">
    <w:name w:val="текст сноски"/>
    <w:basedOn w:val="a"/>
    <w:uiPriority w:val="99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5679</Words>
  <Characters>32372</Characters>
  <Application>Microsoft Office Word</Application>
  <DocSecurity>0</DocSecurity>
  <Lines>269</Lines>
  <Paragraphs>75</Paragraphs>
  <ScaleCrop>false</ScaleCrop>
  <Company>MMA</Company>
  <LinksUpToDate>false</LinksUpToDate>
  <CharactersWithSpaces>37976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Подписано в печать 01</dc:title>
  <dc:subject/>
  <dc:creator>Козлов</dc:creator>
  <cp:keywords/>
  <dc:description/>
  <cp:lastModifiedBy>admin</cp:lastModifiedBy>
  <cp:revision>2</cp:revision>
  <dcterms:created xsi:type="dcterms:W3CDTF">2014-02-18T20:10:00Z</dcterms:created>
  <dcterms:modified xsi:type="dcterms:W3CDTF">2014-02-18T20:10:00Z</dcterms:modified>
</cp:coreProperties>
</file>