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B8" w:rsidRDefault="00354B82">
      <w:pPr>
        <w:pStyle w:val="1"/>
        <w:rPr>
          <w:noProof w:val="0"/>
        </w:rPr>
      </w:pPr>
      <w:r>
        <w:rPr>
          <w:noProof w:val="0"/>
        </w:rPr>
        <w:t>Лечение гипертонического криза.</w:t>
      </w:r>
    </w:p>
    <w:p w:rsidR="001C3AB8" w:rsidRDefault="001C3AB8"/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Гипертоническим кризом называют резкое повышение артериального давления. Считается, что к кризам более других предрасположены лица с эмоциональной нестабильностью, с невротическими реакциями, а также больные с тревожными расстройствами, больные страдающие депрессией в субклинической форме. </w:t>
      </w: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>Условно выделяют два типа гипертонических кризов, так называемые, “красный” и “белый”, что отражает их клинические особенности. Такое разделение связано с особенностями патогенеза и, соответственно, с принципами терапии. Первый тип криза связан с выбросом адреналина и ростом ситолического артериального давления. Второй тип характеризуется подъемом, преимущественно, диастолического артериального давления.</w:t>
      </w:r>
    </w:p>
    <w:p w:rsidR="001C3AB8" w:rsidRDefault="001C3AB8">
      <w:pPr>
        <w:jc w:val="both"/>
        <w:rPr>
          <w:noProof w:val="0"/>
        </w:rPr>
      </w:pPr>
    </w:p>
    <w:tbl>
      <w:tblPr>
        <w:tblW w:w="0" w:type="auto"/>
        <w:tblInd w:w="-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237"/>
        <w:gridCol w:w="3402"/>
      </w:tblGrid>
      <w:tr w:rsidR="001C3AB8">
        <w:tc>
          <w:tcPr>
            <w:tcW w:w="3070" w:type="dxa"/>
          </w:tcPr>
          <w:p w:rsidR="001C3AB8" w:rsidRDefault="001C3AB8">
            <w:pPr>
              <w:jc w:val="both"/>
              <w:rPr>
                <w:b/>
                <w:noProof w:val="0"/>
              </w:rPr>
            </w:pPr>
          </w:p>
        </w:tc>
        <w:tc>
          <w:tcPr>
            <w:tcW w:w="6639" w:type="dxa"/>
            <w:gridSpan w:val="2"/>
          </w:tcPr>
          <w:p w:rsidR="001C3AB8" w:rsidRDefault="00354B82">
            <w:pPr>
              <w:jc w:val="both"/>
              <w:rPr>
                <w:b/>
                <w:noProof w:val="0"/>
              </w:rPr>
            </w:pPr>
            <w:r>
              <w:rPr>
                <w:b/>
                <w:noProof w:val="0"/>
              </w:rPr>
              <w:t>Тип гипертонического криза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b/>
                <w:noProof w:val="0"/>
              </w:rPr>
              <w:t>Параметры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b/>
                <w:noProof w:val="0"/>
              </w:rPr>
              <w:t>I тип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b/>
                <w:noProof w:val="0"/>
              </w:rPr>
              <w:t>II тип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ведущий патогенетический фактор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адреналин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норадреналин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время появления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ранние стадии гипертонической болезни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поздние стадии гипертонической болезни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течение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относительно легкое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более тяжелое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развитие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быстрое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постепенное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гемодинамические особенности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преимущественный рост сердечного выброса 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преимущественное повышение переферического сопротивления сосудов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артериальное давление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рост систолического давления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преимущественное увеличение диастолического давления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основные клинические проявления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головная боль, общее возбуждение, дрожь, сердцебиение, приливы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сильная головная боль, тошнота, рвота, нарушения зрения, неврологические расстройства, бессимптомное течение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продолжительность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часы, минуты, до суток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от нескольких часов до нескольких суток</w:t>
            </w:r>
          </w:p>
        </w:tc>
      </w:tr>
      <w:tr w:rsidR="001C3AB8">
        <w:tc>
          <w:tcPr>
            <w:tcW w:w="3070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осложнения</w:t>
            </w:r>
          </w:p>
        </w:tc>
        <w:tc>
          <w:tcPr>
            <w:tcW w:w="3237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нехарактерны</w:t>
            </w:r>
          </w:p>
        </w:tc>
        <w:tc>
          <w:tcPr>
            <w:tcW w:w="3402" w:type="dxa"/>
          </w:tcPr>
          <w:p w:rsidR="001C3AB8" w:rsidRDefault="00354B82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инсульт, динамические нарушения мозгового кровообращения, инфаркт миокарда, стенокардия, сердечная астма и отек легких, слепота</w:t>
            </w:r>
          </w:p>
        </w:tc>
      </w:tr>
    </w:tbl>
    <w:p w:rsidR="001C3AB8" w:rsidRDefault="001C3AB8">
      <w:pPr>
        <w:jc w:val="both"/>
        <w:rPr>
          <w:noProof w:val="0"/>
        </w:rPr>
      </w:pP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>Следует обратить внимание на продолжительность криза и на выраженность симптоматики. При втором типе наиболее прогностически неблагоприятным вариантом является длительное бессимптомное течение криза, когда криз диагостируется только после развития осложнений.</w:t>
      </w:r>
    </w:p>
    <w:p w:rsidR="001C3AB8" w:rsidRDefault="001C3AB8">
      <w:pPr>
        <w:spacing w:line="360" w:lineRule="auto"/>
        <w:ind w:firstLine="709"/>
        <w:jc w:val="both"/>
        <w:rPr>
          <w:b/>
          <w:noProof w:val="0"/>
        </w:rPr>
      </w:pP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b/>
          <w:noProof w:val="0"/>
        </w:rPr>
        <w:t xml:space="preserve">Лечение. </w:t>
      </w:r>
      <w:r>
        <w:rPr>
          <w:noProof w:val="0"/>
        </w:rPr>
        <w:t>Экстренное снижение артериального давления необходимо. если появляются или нарастают признаки поражения органов-мишеней. К этим признакам относятся:</w:t>
      </w:r>
    </w:p>
    <w:p w:rsidR="001C3AB8" w:rsidRDefault="00354B82" w:rsidP="00354B82">
      <w:pPr>
        <w:numPr>
          <w:ilvl w:val="0"/>
          <w:numId w:val="1"/>
        </w:numPr>
        <w:spacing w:line="360" w:lineRule="auto"/>
        <w:jc w:val="both"/>
        <w:rPr>
          <w:noProof w:val="0"/>
        </w:rPr>
      </w:pPr>
      <w:r>
        <w:rPr>
          <w:noProof w:val="0"/>
        </w:rPr>
        <w:t>выраженные изменения глазного дна — кровоизлияния, экссудаты. отек дисков зрительных нервов</w:t>
      </w:r>
    </w:p>
    <w:p w:rsidR="001C3AB8" w:rsidRDefault="00354B82" w:rsidP="00354B82">
      <w:pPr>
        <w:numPr>
          <w:ilvl w:val="0"/>
          <w:numId w:val="1"/>
        </w:numPr>
        <w:spacing w:line="360" w:lineRule="auto"/>
        <w:jc w:val="both"/>
        <w:rPr>
          <w:noProof w:val="0"/>
        </w:rPr>
      </w:pPr>
      <w:r>
        <w:rPr>
          <w:noProof w:val="0"/>
        </w:rPr>
        <w:t>поражение сердца — отек легких, ишемия или инфаркт миокарда</w:t>
      </w:r>
    </w:p>
    <w:p w:rsidR="001C3AB8" w:rsidRDefault="00354B82" w:rsidP="00354B82">
      <w:pPr>
        <w:numPr>
          <w:ilvl w:val="0"/>
          <w:numId w:val="1"/>
        </w:numPr>
        <w:spacing w:line="360" w:lineRule="auto"/>
        <w:jc w:val="both"/>
        <w:rPr>
          <w:noProof w:val="0"/>
        </w:rPr>
      </w:pPr>
      <w:r>
        <w:rPr>
          <w:noProof w:val="0"/>
        </w:rPr>
        <w:t>неврологические нарушения — головная боль. нарушения психического состояния, судороги, кома</w:t>
      </w:r>
    </w:p>
    <w:p w:rsidR="001C3AB8" w:rsidRDefault="00354B82" w:rsidP="00354B82">
      <w:pPr>
        <w:numPr>
          <w:ilvl w:val="0"/>
          <w:numId w:val="1"/>
        </w:numPr>
        <w:spacing w:line="360" w:lineRule="auto"/>
        <w:jc w:val="both"/>
        <w:rPr>
          <w:noProof w:val="0"/>
        </w:rPr>
      </w:pPr>
      <w:r>
        <w:rPr>
          <w:noProof w:val="0"/>
        </w:rPr>
        <w:t>поражение почек — гематурия, повышение уровня креатинина в плазме крови</w:t>
      </w: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>В подобных случаях необходимо добиться выраженного снижения артериального давления в течение 1 часа, чтобы уменьшить вероятность развития необратимых нарушений и смерти больного.</w:t>
      </w: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>При гипертонических кризах, требующих неотложного лечения, признаки поражения органов-мишеней минимальны или отсутствуют. артериальное давление можно снижать несколько медленнее. Первоначальная цель лечения — добиться диастолического давления. равного 100-110 mm Hg. При этом не следует добиваться слишком резкого или слишком значительного снижения артериального давления, чтобы избежать ишемиии головного мозга и миокарда.</w:t>
      </w: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Препараты для парентерального введения. </w:t>
      </w:r>
    </w:p>
    <w:p w:rsidR="001C3AB8" w:rsidRDefault="00354B82" w:rsidP="00354B82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>Нитропруссид натрия — артериальный и венозный вазодилататор прямого действия — средство выбора практически при всех формах гипетонических кризов. Снижение артериального давления происходит быстро, дозы в процессе инфузии легко подобрать, действие прекращается в течение 5 минут после окончания введения препарата. Препарат вводят внутривенно 50 мг в 250 мл 5% раствора глюкозы, начиная с 0.5 мкг/кг/мин, максимальная скорость — 10 мкг/кг/мин. Гипотензивный эффект более выражен у больных, получающих гипотензивную терапию. Если инфузия продолжается более 24 часов, если есть почечная недостаточность, то высока вероятность развития интоксикации, вызванной накоплением метаболита нитропруссида натрия — тиоцианата. Токсическое действие может проявляться шумом в ушах, нечеткостью зрительных образов и бредом. Нарушение функции печени также способствует накоплению цианидов, что вызывает метаболический ацидоз, одышку, тошноту, рвоту, головные боли, атаксию, бомороки. Концентрация тиоцианата не должна превышать 10 мг%. При отравлении тиоцианатом применяют нитраты внутривенно и тиосульфат, а в тяжелых случаях прибегают к гемодиализу.</w:t>
      </w:r>
    </w:p>
    <w:p w:rsidR="001C3AB8" w:rsidRDefault="00354B82" w:rsidP="00354B82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>Нитроглицерин. Продолжительная внутривенная инфузия нитроглицерина показана тогда, когда применение нитропрусссида натрия имеет относительные потивопоказания, например, при тяжелых формах ишемической болезни сердца, выраженной почечной или печеночной недостаточности. Начальная скорость введения составляет 5-10 мкг/кг в минуту. В дальнейшем дозу постепенно повышают под контролем артериального давления до 200 5-10 мкг/кг в минуту и более, в зависимости от клинического эффекта. Нитроглицерин является предпочтительным средствомпри умеренной артериальной гипертензии у больных с острой коронарной недостаточностью или после операции аорто-коронарного шунтирования, так как он улучшает газообмен в легких и коллатеральный коронарный кровоток. Нитроглицерин сильно снижает преднагрузку, поэтому следует избегать его применения у пациентов с инфарктом правого желудочка, так как состояние таких пациентов зависит от преднагрузки, определяющей возможность адекватного сердечного выброса.</w:t>
      </w:r>
    </w:p>
    <w:p w:rsidR="001C3AB8" w:rsidRDefault="00354B82" w:rsidP="00354B82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 xml:space="preserve">Лабеталол. Струйное внутривенное введение 20 мг препарата и повторные внутривенные вливания по 20-80 мг каждые 10 минут (максимальная общая доза 300 мг) позволяют быстро нормализовать давление. Максимальное действие наступает через 5 минут после введения. Возможна постоянная суточная инфузия с максимальной дозой 2400 мг со скоростью 1-2мг/мин. При внутривенном введении </w:t>
      </w:r>
      <w:r>
        <w:rPr>
          <w:noProof w:val="0"/>
        </w:rPr>
        <w:sym w:font="Symbol" w:char="F062"/>
      </w:r>
      <w:r>
        <w:rPr>
          <w:noProof w:val="0"/>
        </w:rPr>
        <w:t xml:space="preserve">-адреноблокирующий эффект значительно выше, чем </w:t>
      </w:r>
      <w:r>
        <w:rPr>
          <w:noProof w:val="0"/>
        </w:rPr>
        <w:sym w:font="Symbol" w:char="F061"/>
      </w:r>
      <w:r>
        <w:rPr>
          <w:noProof w:val="0"/>
        </w:rPr>
        <w:t xml:space="preserve">-адреноблокирующий (1:7). Возможна ортостатическая гипотензия, поэтому больного необходимо уложить. Период полувыведения составляет около 8 часов, в связи с чем инфузию необходимо прекратить до начала перорального приема лабеталола. Начальная доза per os coставляет 200 мг. Её дают после того, как у пациента в положении лежа начинает повышаться артериальное давление. Затем через каждые 6-12 часов по 200-400 мг внутрь в зависимости от артериального давления. Осложнения и побочные действия как у других </w:t>
      </w:r>
      <w:r>
        <w:rPr>
          <w:noProof w:val="0"/>
        </w:rPr>
        <w:sym w:font="Symbol" w:char="F062"/>
      </w:r>
      <w:r>
        <w:rPr>
          <w:noProof w:val="0"/>
        </w:rPr>
        <w:t>-блокаторов.</w:t>
      </w:r>
    </w:p>
    <w:p w:rsidR="001C3AB8" w:rsidRDefault="00354B82" w:rsidP="00354B82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>Диазоксид вводят вместе с диуретиком (40 или 80 мг фуросемида внутривенно), поскольку диазоксид может вызвать задержку жидкости в организме. Можно произвести однократное введение 300 мг, что снижает давление до нормы в течение 5-10 минут и этот эффект сохраняется в течение 12 часов и более, но безопаснее вводить внутривенно быстро по 50-100 мг диазоксида каждые 10 минут до достижения оптимальног артериального давления. Побочные эффекты — тошнота, рвота, гипергликемия, тахикардия и изредка гипотензия (шок очень редко).</w:t>
      </w:r>
    </w:p>
    <w:p w:rsidR="001C3AB8" w:rsidRDefault="00354B82" w:rsidP="00354B82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 xml:space="preserve">Эсмолол — </w:t>
      </w:r>
      <w:r>
        <w:rPr>
          <w:noProof w:val="0"/>
        </w:rPr>
        <w:sym w:font="Symbol" w:char="F062"/>
      </w:r>
      <w:r>
        <w:rPr>
          <w:noProof w:val="0"/>
        </w:rPr>
        <w:t>1-адреноблокатор.Начальная доза 500 мг на кг внутривенно в течение 1 минуты, затем 50-300 мкг на кг в минуту. Также эсмолол применяют при расслаивающей аневризме аорты.</w:t>
      </w:r>
    </w:p>
    <w:p w:rsidR="001C3AB8" w:rsidRDefault="001C3AB8">
      <w:pPr>
        <w:spacing w:line="360" w:lineRule="auto"/>
        <w:jc w:val="both"/>
        <w:rPr>
          <w:noProof w:val="0"/>
        </w:rPr>
      </w:pPr>
    </w:p>
    <w:p w:rsidR="001C3AB8" w:rsidRDefault="00354B82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>Гипотензивные средства для приема внутрь.</w:t>
      </w:r>
    </w:p>
    <w:p w:rsidR="001C3AB8" w:rsidRDefault="00354B82" w:rsidP="00354B82">
      <w:pPr>
        <w:numPr>
          <w:ilvl w:val="0"/>
          <w:numId w:val="3"/>
        </w:numPr>
        <w:spacing w:line="360" w:lineRule="auto"/>
        <w:jc w:val="both"/>
        <w:rPr>
          <w:noProof w:val="0"/>
        </w:rPr>
      </w:pPr>
      <w:r>
        <w:rPr>
          <w:noProof w:val="0"/>
        </w:rPr>
        <w:t>Нифедипин под язык. Действие начинается в течение первых 30 минут после приема. Продолжительность действия около 4-5 часов. Нифедипин опасен для лиц страдающих гипертрофией левого желудочка, ишемической болезнью сердца, что связано с возникающей ишемией миокарда.</w:t>
      </w:r>
    </w:p>
    <w:p w:rsidR="001C3AB8" w:rsidRDefault="00354B82" w:rsidP="00354B82">
      <w:pPr>
        <w:numPr>
          <w:ilvl w:val="0"/>
          <w:numId w:val="3"/>
        </w:numPr>
        <w:spacing w:line="360" w:lineRule="auto"/>
        <w:jc w:val="both"/>
        <w:rPr>
          <w:noProof w:val="0"/>
        </w:rPr>
      </w:pPr>
      <w:r>
        <w:rPr>
          <w:noProof w:val="0"/>
        </w:rPr>
        <w:t>Лабеталол per os.</w:t>
      </w:r>
    </w:p>
    <w:p w:rsidR="001C3AB8" w:rsidRDefault="00354B82">
      <w:pPr>
        <w:spacing w:line="360" w:lineRule="auto"/>
        <w:jc w:val="both"/>
        <w:rPr>
          <w:noProof w:val="0"/>
        </w:rPr>
      </w:pPr>
      <w:r>
        <w:rPr>
          <w:noProof w:val="0"/>
        </w:rPr>
        <w:t>Препараты простагландинов PGA</w:t>
      </w:r>
      <w:r>
        <w:rPr>
          <w:noProof w:val="0"/>
          <w:vertAlign w:val="subscript"/>
        </w:rPr>
        <w:t>2</w:t>
      </w:r>
      <w:r>
        <w:rPr>
          <w:noProof w:val="0"/>
        </w:rPr>
        <w:t>, PGA</w:t>
      </w:r>
      <w:r>
        <w:rPr>
          <w:noProof w:val="0"/>
          <w:vertAlign w:val="subscript"/>
        </w:rPr>
        <w:t>1</w:t>
      </w:r>
      <w:r>
        <w:rPr>
          <w:noProof w:val="0"/>
        </w:rPr>
        <w:t>. Эти препараты снижают артериальное давление за счет снижения общего переферического сопротивления сосудов из-за прямого расширения артериол, рефлекторно увеличивается сердечный выброс. PGA</w:t>
      </w:r>
      <w:r>
        <w:rPr>
          <w:noProof w:val="0"/>
          <w:vertAlign w:val="subscript"/>
        </w:rPr>
        <w:t xml:space="preserve">1 </w:t>
      </w:r>
      <w:r>
        <w:rPr>
          <w:noProof w:val="0"/>
        </w:rPr>
        <w:t>обладает также спосбностью увеличивать выведение калия, натрия и воды и увеличивает почечный кровоток.</w:t>
      </w:r>
    </w:p>
    <w:p w:rsidR="001C3AB8" w:rsidRDefault="001C3AB8">
      <w:pPr>
        <w:spacing w:line="360" w:lineRule="auto"/>
        <w:ind w:firstLine="709"/>
        <w:jc w:val="both"/>
        <w:rPr>
          <w:noProof w:val="0"/>
        </w:rPr>
      </w:pPr>
      <w:bookmarkStart w:id="0" w:name="_GoBack"/>
      <w:bookmarkEnd w:id="0"/>
    </w:p>
    <w:sectPr w:rsidR="001C3AB8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553"/>
    <w:multiLevelType w:val="singleLevel"/>
    <w:tmpl w:val="DF4863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933E68"/>
    <w:multiLevelType w:val="singleLevel"/>
    <w:tmpl w:val="DBB08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F966B0B"/>
    <w:multiLevelType w:val="singleLevel"/>
    <w:tmpl w:val="0B7AA6D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B82"/>
    <w:rsid w:val="001C3AB8"/>
    <w:rsid w:val="00354B82"/>
    <w:rsid w:val="00B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B65FA-0513-4525-986A-11C869DA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гипертонического криза.</dc:title>
  <dc:subject/>
  <dc:creator>Гвоздицин Александр свет Геннадьевич</dc:creator>
  <cp:keywords/>
  <cp:lastModifiedBy>admin</cp:lastModifiedBy>
  <cp:revision>2</cp:revision>
  <cp:lastPrinted>1998-10-29T05:05:00Z</cp:lastPrinted>
  <dcterms:created xsi:type="dcterms:W3CDTF">2014-02-07T09:23:00Z</dcterms:created>
  <dcterms:modified xsi:type="dcterms:W3CDTF">2014-02-07T09:23:00Z</dcterms:modified>
</cp:coreProperties>
</file>