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F5" w:rsidRDefault="00362FC6" w:rsidP="00362FC6">
      <w:pPr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>Общая характеристика предприятия.</w:t>
      </w:r>
    </w:p>
    <w:p w:rsidR="006223F5" w:rsidRDefault="006223F5">
      <w:pPr>
        <w:spacing w:line="288" w:lineRule="auto"/>
        <w:rPr>
          <w:sz w:val="28"/>
        </w:rPr>
      </w:pPr>
    </w:p>
    <w:p w:rsidR="006223F5" w:rsidRDefault="00362FC6" w:rsidP="00362FC6">
      <w:pPr>
        <w:numPr>
          <w:ilvl w:val="0"/>
          <w:numId w:val="3"/>
        </w:numPr>
        <w:spacing w:line="288" w:lineRule="auto"/>
        <w:ind w:left="1134" w:hanging="567"/>
        <w:jc w:val="both"/>
        <w:rPr>
          <w:sz w:val="28"/>
        </w:rPr>
      </w:pPr>
      <w:r>
        <w:rPr>
          <w:sz w:val="28"/>
        </w:rPr>
        <w:t>Организационно-правовая форма предприятия.</w:t>
      </w:r>
    </w:p>
    <w:p w:rsidR="006223F5" w:rsidRDefault="006223F5">
      <w:pPr>
        <w:spacing w:line="288" w:lineRule="auto"/>
        <w:jc w:val="both"/>
        <w:rPr>
          <w:sz w:val="28"/>
        </w:rPr>
      </w:pPr>
    </w:p>
    <w:p w:rsidR="006223F5" w:rsidRDefault="00362FC6" w:rsidP="00362FC6">
      <w:pPr>
        <w:numPr>
          <w:ilvl w:val="12"/>
          <w:numId w:val="0"/>
        </w:num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Открытое акционерное общество «Ахтуба» является правоприемником Мобильного проектно-строительного предприятия «Астраханьпром</w:t>
      </w:r>
      <w:r>
        <w:rPr>
          <w:sz w:val="28"/>
        </w:rPr>
        <w:softHyphen/>
        <w:t>газстрой» в соответствии с Указом Президента Российской Федерации №721 от 1 июля 1992 года «Об организационных мерах по преобразованию государственных предприятий, добровольных объединений государственных предприятий в акционерные общества».</w:t>
      </w:r>
    </w:p>
    <w:p w:rsidR="006223F5" w:rsidRDefault="00362FC6" w:rsidP="00362FC6">
      <w:pPr>
        <w:numPr>
          <w:ilvl w:val="12"/>
          <w:numId w:val="0"/>
        </w:num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Общество является юридическим лицом и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6223F5" w:rsidRDefault="00362FC6" w:rsidP="00362FC6">
      <w:pPr>
        <w:numPr>
          <w:ilvl w:val="12"/>
          <w:numId w:val="0"/>
        </w:num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Общество имеет гражданские права и несёт обязанности для осуществления любых видов деятельности, не запрещенных Федеральными законами. Основными видами его деятельности, согласно лицензии, являются: общестроительные, специальные работы, а также проектные работы и выступление в роли заказчика (собственное строительство).</w:t>
      </w:r>
    </w:p>
    <w:p w:rsidR="006223F5" w:rsidRDefault="00362FC6" w:rsidP="00362FC6">
      <w:pPr>
        <w:numPr>
          <w:ilvl w:val="12"/>
          <w:numId w:val="0"/>
        </w:num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ОАО «Ахтуба» вправе в установленном порядке открывать банковские счета на территории Российской Федерации и за её пределами, имеет круглую печать, содержащую его полное фирменное наименование на русском языке и указание на место его нахождения, а также штампы и бланки со своим наименованием, собственную эмблему.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Уставный капитал Общества составляет 130206 тысяч рублей, разделённых на обыкновенные (65103 шт.) акции номинальной стоимостью 2000 рублей. Общество создаёт резервный фонд за счёт отчислений от прибыли в размере 15% уставного капитала. Средства резервного фонда предназначены исключительно на покрытие непредвиденных убытков ОАО, а также для погашения облигаций Общества и выкупа акций Общества в случае отсутствия иных средств.</w:t>
      </w:r>
    </w:p>
    <w:p w:rsidR="006223F5" w:rsidRDefault="006223F5">
      <w:pPr>
        <w:spacing w:line="288" w:lineRule="auto"/>
        <w:ind w:firstLine="709"/>
        <w:jc w:val="both"/>
        <w:rPr>
          <w:sz w:val="28"/>
        </w:rPr>
      </w:pPr>
    </w:p>
    <w:p w:rsidR="006223F5" w:rsidRDefault="00362FC6" w:rsidP="00362FC6">
      <w:pPr>
        <w:numPr>
          <w:ilvl w:val="0"/>
          <w:numId w:val="4"/>
        </w:numPr>
        <w:spacing w:line="288" w:lineRule="auto"/>
        <w:ind w:left="1134" w:hanging="567"/>
        <w:jc w:val="both"/>
        <w:rPr>
          <w:sz w:val="28"/>
        </w:rPr>
      </w:pPr>
      <w:r>
        <w:rPr>
          <w:sz w:val="28"/>
        </w:rPr>
        <w:t>Краткая история предприятия.</w:t>
      </w:r>
    </w:p>
    <w:p w:rsidR="006223F5" w:rsidRDefault="006223F5">
      <w:pPr>
        <w:spacing w:line="288" w:lineRule="auto"/>
        <w:jc w:val="both"/>
        <w:rPr>
          <w:sz w:val="28"/>
        </w:rPr>
      </w:pP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Для осуществления строительства объектов, необходимых для освоения Астраханского газоконденсатного месторождения в сентябре 1981 года были приняты предложения об организации в Астраханской области Министерством промышленного строительства СССР производственного строительно-монтажного объединения «Астраханьпромгазстрой».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Потом, стали всё чётче вырисовываться промысловые сооружения непосредственно на территории месторождения, производственные базы, временные жилые посёлки и объекты их жизнеобеспечения, сам Астраханский газоперерабатывающий завод со своими службами. Прошли годы, и наступил долгожданный момент: на исходе 1986 года первая очередь АГПЗ вступила в строй.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Объединение было переименовано в Мобильное проектно-строительное предприятие «Астраханьпромгазстрой» и на 1991 год имело 14 структурных подразделений, около 30 организаций на субподряде, 5500 работающих, 175 строящихся объектов, 1694 единицы строительной техники, механизмов и транспорта.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За эти годы предприятие построило ряд крупных объектов как промышленного, так и социального значения: вторая очередь АГПЗ, комплекс водоочистных сооружений для Астрахани на 100 кубом/сутки, многочисленные объекты жилья и соцкультбыта в г.Астрахани и п.Красный Яр, сельскохозяйственные и природоохранные объекты и многое другое.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Мобильное проектно-строительное предприятие «Астраханьпром</w:t>
      </w:r>
      <w:r>
        <w:rPr>
          <w:sz w:val="28"/>
        </w:rPr>
        <w:softHyphen/>
        <w:t>газстрой» 14 июня 1996 года было зарегистрировано как Открытое акционерное общество «Ахтуба».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Сокращение объемов строительных работ сказалось на структуре и мощности предприятия, состав которого сократился с более чем пяти тысяч работников до 175.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Мощность организации до 1-2 млн. деноминированных рублей в год на строительстве. В настоящее время ведет работы в гг.Сочи (жильё), Кисловодске (жильё), объемы в г.Астрахани. Практически обеспечивает свои бывшие подразделения строительными материалами, горюче-смазочным материалом.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Основной целью Общества является получение прибыли от деятельности структурных подразделений.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Структурно имеет в своем составе (кроме аппарата):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учебно-курсовой комбинат для обучения рабочих кадров;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базу снабжения;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лесозаготовительный участок в с.Парфеньево Костромской области;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участок строительства в г.Кисловодске;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трест-площадку «Промстрой-6» в г.Сочи;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трест-площадку «Спецмонтаж» — дочернее предприятие, на правах юридического лица;</w:t>
      </w:r>
    </w:p>
    <w:p w:rsidR="006223F5" w:rsidRDefault="00362FC6">
      <w:pPr>
        <w:spacing w:line="288" w:lineRule="auto"/>
        <w:ind w:firstLine="851"/>
        <w:rPr>
          <w:sz w:val="28"/>
        </w:rPr>
      </w:pPr>
      <w:r>
        <w:rPr>
          <w:sz w:val="28"/>
        </w:rPr>
        <w:t>Численный состав по состоянию на 01.07.98г. — 175 человек, в том числе 30% ИТР.</w:t>
      </w:r>
    </w:p>
    <w:p w:rsidR="006223F5" w:rsidRDefault="00362FC6" w:rsidP="00362FC6">
      <w:pPr>
        <w:numPr>
          <w:ilvl w:val="0"/>
          <w:numId w:val="6"/>
        </w:numPr>
        <w:spacing w:line="288" w:lineRule="auto"/>
        <w:rPr>
          <w:sz w:val="28"/>
        </w:rPr>
      </w:pPr>
      <w:r>
        <w:rPr>
          <w:sz w:val="28"/>
        </w:rPr>
        <w:br w:type="page"/>
        <w:t>Структура управления.</w:t>
      </w:r>
    </w:p>
    <w:p w:rsidR="006223F5" w:rsidRDefault="006223F5">
      <w:pPr>
        <w:spacing w:line="288" w:lineRule="auto"/>
        <w:rPr>
          <w:sz w:val="28"/>
        </w:rPr>
      </w:pPr>
    </w:p>
    <w:p w:rsidR="006223F5" w:rsidRDefault="00362FC6" w:rsidP="00362FC6">
      <w:pPr>
        <w:numPr>
          <w:ilvl w:val="0"/>
          <w:numId w:val="7"/>
        </w:numPr>
        <w:spacing w:line="288" w:lineRule="auto"/>
        <w:ind w:left="1134" w:hanging="567"/>
        <w:rPr>
          <w:sz w:val="28"/>
        </w:rPr>
      </w:pPr>
      <w:r>
        <w:rPr>
          <w:sz w:val="28"/>
        </w:rPr>
        <w:t>Структура управления.</w:t>
      </w:r>
    </w:p>
    <w:p w:rsidR="006223F5" w:rsidRDefault="006223F5">
      <w:pPr>
        <w:spacing w:line="288" w:lineRule="auto"/>
        <w:rPr>
          <w:sz w:val="28"/>
        </w:rPr>
      </w:pPr>
    </w:p>
    <w:p w:rsidR="006223F5" w:rsidRDefault="00362FC6">
      <w:pPr>
        <w:spacing w:line="288" w:lineRule="auto"/>
        <w:ind w:firstLine="709"/>
        <w:jc w:val="both"/>
        <w:rPr>
          <w:sz w:val="28"/>
        </w:rPr>
      </w:pPr>
      <w:r>
        <w:rPr>
          <w:sz w:val="28"/>
        </w:rPr>
        <w:t>Управление предприятием осуществляется в соответствии с законодательством РФ и Уставом предприятия.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Органами управления Общества являются: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общее собрание акционеров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Совет директоров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генеральный директор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rPr>
          <w:sz w:val="28"/>
        </w:rPr>
      </w:pPr>
      <w:r>
        <w:rPr>
          <w:sz w:val="28"/>
        </w:rPr>
        <w:t>ликвидационная комиссия.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Высшим органом управления Общества является общее собрание акционеров. Один раз в год Общество проводит годовое общее собрание акционеров. Оно проводится не ранее чем через два месяца и не позднее шести месяцев после окончания финансового года Общества. Собрание обладает очень большими правами и полномочиями: уменьшение или увеличение уставного капитала, реорганизация или ликвидация Общества, изменение его устава и т.д.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Совет директоров Общества, состоящий из девяти человек, осуществляет общее руководство деятельностью Общества (приоритетные направления деятельности; вопросы созыва и управления ходом общего собрания акционеров; решения, связанные с акциями ОАО и т.д.), за исключением решения вопросов, отнесенных Федеральным Законом «Об акционерных обществах» к исключительной компетенции общего собрания акционеров. Члены Совета директоров Общества избираются годовым общим собранием акционеров сроком на один год и могут переизбираться неограниченное число раз.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Высшим должностным лицом предприятия является генеральный директор, с которым заключается контракт сроком от 1 года до 5 лет. Генеральный директор назначается общим собранием акционеров. Лицо, осуществляющее функции генерального директора, не может быть одновременно председателем Совета директоров Общества. К его компетенции относятся все вопросы руководства текущей деятельности Общества и организация выполнения решений общего собрания акционеров и Совета директоров.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Члены Совета директоров и генеральный директор несут ответственность перед Обществом за убытки причиненные ему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Ликвидационная комиссия избирается на общем собрании акционеров в случае добровольной ликвидации Общества, и к ней переходят все полномочия по управлению делами Общества. Она помещает в органах печати сообщение о ликвидации Общества, порядке и сроках для предъявления требований его кредиторами (требования принимаются 2 месяца со дня опубликования сообщения о ликвидации Общества). Ей принимаются меры к выявлению кредиторов и получению дебиторской задолженности. После завершения расчетов с кредиторами и акционерами ликвидация Общества считается завершенной, а Общество прекратившем существование с момента вынесения органом государственной регистрации соответствующей записи в единый государственный реестр юридических лиц.</w:t>
      </w:r>
    </w:p>
    <w:p w:rsidR="006223F5" w:rsidRDefault="006223F5">
      <w:pPr>
        <w:spacing w:line="288" w:lineRule="auto"/>
        <w:ind w:firstLine="851"/>
        <w:jc w:val="both"/>
        <w:rPr>
          <w:sz w:val="28"/>
        </w:rPr>
      </w:pPr>
    </w:p>
    <w:p w:rsidR="006223F5" w:rsidRDefault="00362FC6" w:rsidP="00362FC6">
      <w:pPr>
        <w:numPr>
          <w:ilvl w:val="0"/>
          <w:numId w:val="8"/>
        </w:numPr>
        <w:spacing w:line="288" w:lineRule="auto"/>
        <w:ind w:left="1134" w:hanging="567"/>
        <w:rPr>
          <w:sz w:val="28"/>
        </w:rPr>
      </w:pPr>
      <w:r>
        <w:rPr>
          <w:sz w:val="28"/>
        </w:rPr>
        <w:t>Перечень отделов, взаимосвязь и взаимоотношения между ними.</w:t>
      </w:r>
    </w:p>
    <w:p w:rsidR="006223F5" w:rsidRDefault="006223F5">
      <w:pPr>
        <w:spacing w:line="288" w:lineRule="auto"/>
        <w:ind w:firstLine="851"/>
        <w:jc w:val="both"/>
        <w:rPr>
          <w:sz w:val="28"/>
        </w:rPr>
      </w:pP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Высшим должностным лицом предприятия является генеральный директор, у которого имеется три заместителя: заместитель по производственным вопросам (главный инженер), заместитель по снабжению, заместитель по продаже неликвидного имущества. В ОАО «Ахтуба» существуют следующие отделы управления: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Энергослужба;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Отдел техники безопасности (ОТБ);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Отдел кадров;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Отдел капитального строительства (ОКС);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Центр инженерно-производственной подготовки (ЦИП);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Сметный отдел;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Отдел конструкторского проектирования (ОКП);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Отдел материально-технического снабжения (ОМТС);</w:t>
      </w:r>
    </w:p>
    <w:p w:rsidR="006223F5" w:rsidRDefault="00362FC6" w:rsidP="00362FC6">
      <w:pPr>
        <w:numPr>
          <w:ilvl w:val="0"/>
          <w:numId w:val="5"/>
        </w:numPr>
        <w:spacing w:line="288" w:lineRule="auto"/>
        <w:ind w:hanging="284"/>
        <w:jc w:val="both"/>
        <w:rPr>
          <w:sz w:val="28"/>
        </w:rPr>
      </w:pPr>
      <w:r>
        <w:rPr>
          <w:sz w:val="28"/>
        </w:rPr>
        <w:t>Бухгалтерия.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Энергослужба ОАО занимается обслуживанием, наладкой и демонтажем высоковольтных линий, трансформаторных подстанций, распределительных устройств. Всё оборудование рассчитано на напряжение 10 кВ. Она осуществляет техническое и методическое руководство, в лице главного энергетика и заместителя главного энергетика, электромонтёрами и мастерами (проверка и ремонт оборудования), сантехниками (горячее водоснабжение, техническая и питьевая вода, стоки), диспетчерами (постоянный контроль за действующими линиями). Энергослужба составляет графики планово-предупредительного ремонта оборудования и сооружений, титульные списки для проведения капитального ремонта, и представляет их на утверждение заместителю по производственным вопросам. Она осуществляет выполнение правил техники безопасности при эксплуатации всех видов энергетического оборудования, санитарных норм для водоснабжения и канализации, проведение учета и анализа аварийных остановок электрооборудования и коммуникаций по предприятию.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Отдел техники безопасности контролирует выполнение энергослужбой правил электробезопасности.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Отдел кадров занимается приемом, отправлением в отпуск (коман</w:t>
      </w:r>
      <w:r>
        <w:rPr>
          <w:sz w:val="28"/>
        </w:rPr>
        <w:softHyphen/>
        <w:t>дировку), увольнением работников и напрямую связан с бухгалтерией.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Отдел капитального строительства не функционирует из-за отсутствия заказов на крупномасштабное промышленное и гражданское строительство.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Центр инженерно-производственной подготовки разрабатывает перспективные и текущие планы совместно с другими отделами в соответствии с утвержденными формами и методическими указаниями, доводит утвержденные планы до отделов. Вместе со сметным отделом проводят комплексный технико-экономический анализ деятельности ОАО «Ахтуба».Они подготавливают необходимые расчеты и смежные калькуляции. Проводят экономический анализ и оперативный статический учет Общества. Рассчитывают (проверяют) представленные другими предприятиями проекты и сметы.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Отдел конструкторского проектирования разрабатывает проекты по заказу предприятий и частных лиц. Отдел состоит из главного архитектора, главного инженера проекта, проектировщиков и сметчицы.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Отдел материально-технического снабжения следит за использованием продукции и остатков сырья, оставшихся на складах. Включает в себя начальника ОМТС, которому подчиняются начальники групп металлов, ГСМ, стройматериалов. Склады охраняются 4 постами охраны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br w:type="page"/>
        <w:t>Как видно из схемы №1 все технические отделы связаны с заместителем по производственной части (главный инженером). Генеральному директору подчиняется отдел кадров и главный бухгалтер Общества.</w:t>
      </w:r>
    </w:p>
    <w:p w:rsidR="006223F5" w:rsidRDefault="006223F5">
      <w:pPr>
        <w:spacing w:line="288" w:lineRule="auto"/>
        <w:ind w:firstLine="851"/>
        <w:jc w:val="both"/>
        <w:rPr>
          <w:sz w:val="28"/>
        </w:rPr>
      </w:pPr>
    </w:p>
    <w:p w:rsidR="006223F5" w:rsidRDefault="00362FC6" w:rsidP="00362FC6">
      <w:pPr>
        <w:numPr>
          <w:ilvl w:val="0"/>
          <w:numId w:val="9"/>
        </w:numPr>
        <w:ind w:left="1134" w:hanging="567"/>
        <w:jc w:val="both"/>
        <w:rPr>
          <w:sz w:val="28"/>
        </w:rPr>
      </w:pPr>
      <w:r>
        <w:rPr>
          <w:sz w:val="28"/>
        </w:rPr>
        <w:t>Структура бухгалтерии и её функции.</w:t>
      </w:r>
    </w:p>
    <w:p w:rsidR="006223F5" w:rsidRDefault="006223F5">
      <w:pPr>
        <w:ind w:firstLine="851"/>
        <w:jc w:val="both"/>
        <w:rPr>
          <w:sz w:val="28"/>
        </w:rPr>
      </w:pP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Бухгалтерский учёт ведётся бухгалтерией.. Бухгалтерия обеспечивает правильную постановку и достоверность учёта, контроль за сохранностью собственности, правильное расходование денежных средств и материальных ценностей.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Бухгалтерия возглавляется главным бухгалтером. Главный бухгалтер подчиняется административно непосредственно генеральному директору предприятия. Непосредственно главному бухгалтеру подчиняются старший бухгалтер, бухгалтер расчётной части, бухгалтер материальной части и бухгалтер-кассир.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Ответственность за ведение бухгалтерского учёта несёт главный бухгалтер. Главный бухгалтер подписывает совместно с руководителем документы, служащие основанием для приёмки и выдачи товарно-материаль</w:t>
      </w:r>
      <w:r>
        <w:rPr>
          <w:sz w:val="28"/>
        </w:rPr>
        <w:softHyphen/>
        <w:t>ных ценностей и денежных средств. Главному бухгалтеру запрещается принимать к исполнению и оформлению документы по операциям, противоречащим законодательству и нарушающим договорную дисциплину.</w:t>
      </w:r>
    </w:p>
    <w:p w:rsidR="006223F5" w:rsidRDefault="006223F5">
      <w:pPr>
        <w:spacing w:line="288" w:lineRule="auto"/>
        <w:ind w:firstLine="851"/>
        <w:jc w:val="both"/>
        <w:rPr>
          <w:sz w:val="28"/>
        </w:rPr>
      </w:pPr>
    </w:p>
    <w:p w:rsidR="006223F5" w:rsidRDefault="00362FC6">
      <w:pPr>
        <w:ind w:firstLine="709"/>
        <w:jc w:val="center"/>
        <w:rPr>
          <w:sz w:val="28"/>
        </w:rPr>
      </w:pPr>
      <w:r>
        <w:rPr>
          <w:sz w:val="28"/>
        </w:rPr>
        <w:t>Основные функции бухгалтерии.</w:t>
      </w:r>
    </w:p>
    <w:p w:rsidR="006223F5" w:rsidRDefault="006223F5">
      <w:pPr>
        <w:ind w:firstLine="709"/>
        <w:jc w:val="center"/>
        <w:rPr>
          <w:sz w:val="28"/>
        </w:rPr>
      </w:pP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Обеспечение правильной организации бухгалтерского учёта и отчётности на предприятии на основе установленных правил ведения учёта и составления отчётности.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Рациональная организация бухгалтерского учёта на основе максимальной централизации, отвечающего требованиям оперативного руководства финансово-хозяйственной деятельностью предприятия.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Полный учёт поступающих денежных средств, товарно-матери</w:t>
      </w:r>
      <w:r>
        <w:rPr>
          <w:sz w:val="28"/>
        </w:rPr>
        <w:softHyphen/>
        <w:t>альных ценностей и основных средств, а также своевременное отражение в бухгалтерском учёте операций, связанных с их движением.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Достоверный учёт издержек производства и обращения, исполнение смет расходов, реализации продукции, выполнения строительно-монтажных работ и других работ, составление экономически обоснованных отчётных калькуляций себестоимости, работ и услуг.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Своевременный и точный учёт финансово-хозяйственной деятельности предприятия в соответствии с установленными правилами.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Осуществление всех финансовых, кредитных и расчётных операций, а также своевременную выверку всех расчётов предприятия с банками и другими организациями и предприятиями.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Правильное и своевременное начисление и перечисление в государственный бюджет налогов, взносов.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Своевременное проведение  совместно с другими подразделениями и службами в производственных единицах завода проверок и документальных ревизий и подготовка предложений по улучшению их работы.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Выдача справок работникам предприятия.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Начисление всех видов затрат, расчётов с работниками предприятия и сторонними организациями по затратам.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Расчёт в установленном порядке с организациями и лицами.</w:t>
      </w:r>
    </w:p>
    <w:p w:rsidR="006223F5" w:rsidRDefault="00362FC6" w:rsidP="00362FC6">
      <w:pPr>
        <w:numPr>
          <w:ilvl w:val="0"/>
          <w:numId w:val="10"/>
        </w:numPr>
        <w:ind w:left="283" w:firstLine="709"/>
        <w:jc w:val="both"/>
        <w:rPr>
          <w:sz w:val="28"/>
        </w:rPr>
      </w:pPr>
      <w:r>
        <w:rPr>
          <w:sz w:val="28"/>
        </w:rPr>
        <w:t>Хранение бухгалтерского архива в установленном порядке и сохранность бухгалтерских документов.</w:t>
      </w:r>
    </w:p>
    <w:p w:rsidR="006223F5" w:rsidRDefault="00362FC6">
      <w:pPr>
        <w:spacing w:line="288" w:lineRule="auto"/>
        <w:ind w:firstLine="851"/>
        <w:jc w:val="both"/>
        <w:rPr>
          <w:sz w:val="28"/>
        </w:rPr>
      </w:pPr>
      <w:r>
        <w:rPr>
          <w:sz w:val="28"/>
        </w:rPr>
        <w:t>Внедрение передовых форм и методов бухгалтерского учёта.</w:t>
      </w:r>
    </w:p>
    <w:p w:rsidR="006223F5" w:rsidRDefault="00362FC6" w:rsidP="00362FC6">
      <w:pPr>
        <w:numPr>
          <w:ilvl w:val="0"/>
          <w:numId w:val="11"/>
        </w:numPr>
        <w:spacing w:line="288" w:lineRule="auto"/>
        <w:jc w:val="both"/>
        <w:rPr>
          <w:sz w:val="28"/>
        </w:rPr>
      </w:pPr>
      <w:r>
        <w:rPr>
          <w:sz w:val="28"/>
        </w:rPr>
        <w:br w:type="page"/>
        <w:t>Состояние учёта и отчётности.</w:t>
      </w:r>
    </w:p>
    <w:p w:rsidR="006223F5" w:rsidRDefault="006223F5">
      <w:pPr>
        <w:spacing w:line="288" w:lineRule="auto"/>
        <w:ind w:firstLine="851"/>
        <w:jc w:val="both"/>
        <w:rPr>
          <w:sz w:val="28"/>
        </w:rPr>
      </w:pPr>
    </w:p>
    <w:p w:rsidR="006223F5" w:rsidRDefault="00362FC6" w:rsidP="00362FC6">
      <w:pPr>
        <w:numPr>
          <w:ilvl w:val="0"/>
          <w:numId w:val="12"/>
        </w:numPr>
        <w:spacing w:line="288" w:lineRule="auto"/>
        <w:ind w:left="1134" w:hanging="567"/>
        <w:rPr>
          <w:sz w:val="28"/>
        </w:rPr>
      </w:pPr>
      <w:r>
        <w:rPr>
          <w:sz w:val="28"/>
        </w:rPr>
        <w:t>Форма бухгалтерского учёта, применяемая на предприятии.</w:t>
      </w:r>
    </w:p>
    <w:p w:rsidR="006223F5" w:rsidRDefault="006223F5">
      <w:pPr>
        <w:ind w:firstLine="851"/>
        <w:jc w:val="both"/>
        <w:rPr>
          <w:sz w:val="28"/>
        </w:rPr>
      </w:pP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Под формой бухгалтерского учёта понимается номенклатура учётных регистров и технология их заполнения на основании первичных документов. Форма выбирается предприятием самостоятельно при условии соблюдения единых методологических принципов, установленных «Положением о бухгалтерском учёте и отчётности в РФ» и другими нормативными документами. Закон предоставляет широкие полномочия руководителям в организации бухгалтерского учёта, позволяющие играть им активную роль на всех этапах осуществления учёта: от выбора форм организации бухгалтерского учёта в зависимости от объёма учётной работы (учредить самостоятельную бухгалтерскую службу, ввести в штат должность бухгалтера, передать ведение бухгалтерского учёта на договорных началах другой организации или вести  учёт лично ) до представления бухгалтерской отчётности её пользователям и реализации соответствующего хранения бухгалтерской документации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 xml:space="preserve">ОАО «Ахтуба» применяет журнально-ордерную форму с использованием двух видов бухгалтерских регистров — журналов-ордеров и вспомогательных ведомостей. Эта форма удобна при больших объемах хозяйственной деятельности, когда бухгалтерских работников несколько и их деятельность не автоматизирована. 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Журнально-ордерная форма основана на использовании шахматного принцип регистрации операций и их накапливании за каждый отчётный месяц. Шахматная форма записи означает, что за один рабочий приём сумма хозяйственной операции фиксируется по дебиту и кредит корреспондирующих счетов, то есть реализуется способ двойной записи. Это возможно потому, что все журналы ордера построены по кредитовому признаку, в корреспонденции с заранее установленными дебетуемыми счетами. Название журнал-ордер свидетельствует о двух качествах регистра: об использовании для хронологической(журнал) и систематической (ордер) записи. Разработаны журналы-ордера и на отдельный счёт, и на группу взаимосвязанных между собой счетов. В дополнение к некоторым из них, чаще для аналитического учёта, ведутся вспомогательные ведомости (для расчётов с дебиторами и кредиторами, для учёта производственных затрат и др.)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Кроме журналов-ордеров и ведомостей ведётся Главная книга — регистр синтетического учёта. В ней по каждому счёту отводится развёрнутый лист для записи остатка на начало и конец месяца, оборота по дебиту в развёрнутом виде, то есть в корреспонденции с кредитуемыми счетами и общей суммы оборота по кредиту. Главная книга открывается на год, а каждому месяцу отводится одна строка. На основании Главной книги и части других регистров заполняется баланс и другие формы отчётности.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На ОАО «Ахтуба» ведутся следующие журналы-ордера: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№1 «Касса»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№2 «Расчётный счёт»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№4 «Кредиты банков и займы»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№6 «Расчёты с поставщиками и подрядчиками»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№7 «Расчеты с подотчётными лицами»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№8 «Учёт финансовых вложений».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Кроме того используют две ведомости: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№10 «Ведомость учёта материалов на складах»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№16 «Ведомость учёта реализации (работ, услуг)».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Для учета кассовых операций, отражаемых на счете № 50 "Касса", предназначен: на промышленных предприятиях журнал-ордер № 1. Прием и выдача денежных средств, оформление приходных и расходных документов, ведение кассовой книги, составление отчета о кассовых операциях осуществляются в порядке, установленном "Положением о ведении кассовых операций предприятиями, учреждениями и организациями". Записи в этих журналах-ордерах и в ведомостях производятся итогами за день на основании отчетов кассира, подтвержденных приложенными к ним документами. Остаток средств в кассе приводится в ведомости только на начало и конец месяца. На протяжении месяца, для контроля и оперативных целей, используются данные об остатках средств, показанные в отчетах кассира.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Для учета операций, отражаемых на счете № 51 "Расчетный счет" предназначен на промышленных предприятиях журнал-ордер № 2. Записи в журналах-ордерах и в ведомостях производятся на основании выписок банка по расчетному счету и приложенных к ним документов. В журнале-ордере и в ведомости записи делаются по корреспондирующим счетам итогами по одной или нескольким выпискам банка. Корреспонденция счетов указывается как в банковских выписках, так и на документах. Остаток средств на расчетном счете в банке приводится в ведомости только на начало и конец месяца. На протяжении месяца, для оперативных целей, используются данные об остатках средств, показанные в выписках банка.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Учет операций, отражаемых на счетах № 90 "Краткосрочные ссуды банков" и № 92 "Долгосрочные кредиты банков", осуществляется в журнале-ордере № 4. В нём находят отражение кредитовые обороты по счетам № 90 и № 92 в разрезе корреспондирующих счетов, а на последней его странице — аналитические данные по указанным ссудам и кредитам. В журнале-ордере № 4 аналитический учет ссуд и кредитов ограничивается лишь отражением сальдо на конец месяца раздельно по каждому виду ссуд или кредитов банка. Записи кредитовых оборотов в журнале-ордере № 4 по счетам №№ 90 и 92, сальдо на конец месяца по ссудам и кредитам в аналитическом разрезе, производятся на основании выписок банка. При этом суммы по корреспондирующим счетам показываются по выписке в целом.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Для учета расчетов с поставщиками и подрядчиками применяется на промышленных предприятиях журнал-ордер № 6.Записи в журнал-ордер № 6 производится на основании счетов-фактур за произведенные подрядчиками работы и за оказанные услуги по мере приемки указанных работ и услуг. Порядок отражения необходимых данных по указанным счетам-фактурам в регистрах аналогичен порядку, изложенному в пояснениях о записях по счетам-фактурам на поступившие товарно-материальные ценности. Причитающиеся подрядчикам и поставщикам суммы показываются в корреспонденции с дебетом счетов, на которых должны быть учтены соответствующие затраты; суммы зачетов или претензий, возникших после акцепта счетов-фактур, приводятся в обособленных графах, в корреспонденции с дебетом счетов, где отражаются эти расчеты (счета № 61, 76 и т.п.). Наряду с данными о суммах, причитающихся за отгруженные товарно-материальные ценности, принятые работы и услуги, в журналах-ордерах № 6 отмечаются дата и суммы оплаты и списаний по каждому счету-фактуре отдельно. Оплата с расчетного счета и в порядке зачета взаимных требований выделяется в специальных графах; оплата из кассы и разного рода списания приводятся в графах "с прочих счетов" с указанием корреспондирующего счета.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Для учета расчетов с подотчетными лицами, отражаемых на счете № 71, предназначен журнал-ордер № 7. В этом журнале-ордере синтетический и аналитический учет расчетов с подотчетными лицами обеспечиваются в единой системе записей. Аналитический учет ведется по отдельно выданным в подотчет суммам и осуществляется позиционным способом. Для получения синтетических данных по счету № 71 "Расчеты с подотчетными лицами" суммы расхода по авансовым отчетам и возврат неиспользованного аванса показываются в журнале-ордере в корреспонденции с дебетуемыми счетами. Одновременно приводится справка о суммах расхода на оплату суточных и подъемных, требующаяся при заполнении соответствующей формы бухгалтерской отчетности.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В журнале-ордере № 8 обороты по кредиту счетов № 61 "Расчеты по авансам и частичной оплате заказов" и № 76 "Расчеты с разными дебиторами и кредиторами" приводятся по данным реестра депонированной заработной платы. Таким образом, в этой части расчетов журнал-ордер обобщает показатели, выявившиеся в регистрах аналитического учета. Следовательно, аналитический учет расчетов по авансам и частичной оплате заказов, а равно с разными дебиторами и кредиторами должен предшествовать синтетическому. Обороты по кредиту счетов № 73 "Расчеты с бюджетом" и № 77 "Внутриведомственные расчеты" фиксируются по данным соответствующих первичных бухгалтерских документов. Аналитические данные по этим счетам приводятся как и в большинстве журналов-ордеров частично на основании показателей тех же документов.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Ведомость № 10 предназначена для учета движения материальных ценностей на промышленном предприятии. В ней находят отражение движение и остатки материальных ценностей по местам их нахождения (хра</w:t>
      </w:r>
      <w:r>
        <w:rPr>
          <w:sz w:val="28"/>
        </w:rPr>
        <w:softHyphen/>
        <w:t>нения) в оценке по плановой себестоимости или оптовым ценам. Одновременно в ведомости показывается фактическая себестоимость поступивших и выбывших материальных ценностей и выявляются отклонения фактической себестоимости приобретенных материальных ценностей от их плановой себестоимости (плановым ценам) или транспортно-заготовительные расходы при учете по оптовым ценам. В этой ведомости поступление и выбытие материальных ценностей находит отражение на основе предусмотренных при оперативно-бухгалтерском методе учета материалов накопительных ведомостей синтетического учета (форма № М-43).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Ведомость № 16 и предназначена для накапливания и группировки в необходимых разрезах данных счетов-фактур или других расчетных документов на отгруженные (отпущенные) продукцию и материальные ценности. В ведомости № 16, наряду с суммами по счетам-фактурам или заменяющим их документам записываются и количественные данные этих изделий по их наименованиям. Эта ведомость применяется, в частности, на предприятиях, где номенклатура готовых изделий не превышает 70 - 80 наименований.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Контроль и ревизия финансовой деятельности осуществляется налоговой инспекцией и нанимаемым по Уставу ОАО «Ахтуба» аудитором.</w:t>
      </w:r>
    </w:p>
    <w:p w:rsidR="006223F5" w:rsidRDefault="006223F5">
      <w:pPr>
        <w:ind w:firstLine="851"/>
        <w:jc w:val="both"/>
        <w:rPr>
          <w:sz w:val="28"/>
        </w:rPr>
      </w:pPr>
    </w:p>
    <w:p w:rsidR="006223F5" w:rsidRDefault="00362FC6" w:rsidP="00362FC6">
      <w:pPr>
        <w:numPr>
          <w:ilvl w:val="0"/>
          <w:numId w:val="13"/>
        </w:numPr>
        <w:ind w:left="1134" w:hanging="567"/>
        <w:rPr>
          <w:sz w:val="28"/>
        </w:rPr>
      </w:pPr>
      <w:r>
        <w:rPr>
          <w:sz w:val="28"/>
        </w:rPr>
        <w:t>Используемые первичные документы.</w:t>
      </w:r>
    </w:p>
    <w:p w:rsidR="006223F5" w:rsidRDefault="006223F5">
      <w:pPr>
        <w:ind w:firstLine="709"/>
        <w:jc w:val="both"/>
        <w:rPr>
          <w:sz w:val="28"/>
        </w:rPr>
      </w:pP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Первичный бухгалтерский документ — это письменное свидетельство о совершении хозяйственной операции, имеющие юридическую силу и не требующие дальнейших  пояснений и детализации. Каждый первичный документ отражает одну совершённую хозяйственную операцию. Множество различных первичных документов образуют основание бухгалтерской «пирамиды», которая в конечном счёте сводится к балансу всей деятельности предприятия.</w:t>
      </w: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При оформлении кассовых операций используются следующие первичные документы: приходные кассовые документы (ордера) — форма №КО-1, расходные кассовые ордера — форма №КО-2,журнальная регистрация приходных и расходных кассовых ордеров — формы №КО-3 и №КО-3а, кассовая книга — форма №КО-4. Приём наличных денег в кассу ведётся по приходным кассовым ордерам, а выдача — по расходным кассовым ордерам. К ним прилагаются документы, на основе которых получены или выданы деньги. Лицу, сдающему деньги, выдаётся отрывная квитанция, являющаяся частью приходного кассового ордера. Ведётся раздельная нумерация приходных и расходных кассовых ордеров. Ведётся оформление платёжных поручений.</w:t>
      </w: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Платёжное поручение — это поручение банку о перечислении соответствующих сумм поставщиком финансовым органам, другим организациям.</w:t>
      </w: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Авансовый отчет. Лица, получившие деньги под отчет, должны представить авансовый отчет о действительном использовании выданных им сумм с приложением утвержденного закупочного акта, копии накладной о сдаче продукции. Выдача новых авансов производится только при условии полного расчета по ранее выданным авансам.</w:t>
      </w:r>
    </w:p>
    <w:p w:rsidR="006223F5" w:rsidRDefault="006223F5">
      <w:pPr>
        <w:ind w:firstLine="709"/>
        <w:jc w:val="both"/>
        <w:rPr>
          <w:sz w:val="28"/>
        </w:rPr>
      </w:pPr>
    </w:p>
    <w:p w:rsidR="006223F5" w:rsidRDefault="00362FC6">
      <w:pPr>
        <w:ind w:firstLine="709"/>
        <w:jc w:val="center"/>
        <w:rPr>
          <w:sz w:val="28"/>
        </w:rPr>
      </w:pPr>
      <w:r>
        <w:rPr>
          <w:sz w:val="28"/>
        </w:rPr>
        <w:t>Сопроводительные расчётно-платёжные документы.</w:t>
      </w: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Реальное продвижение (передача) товара от поставщика (продавца) к покупателю сопровождается различными товарными и товарно-транспорт</w:t>
      </w:r>
      <w:r>
        <w:rPr>
          <w:sz w:val="28"/>
        </w:rPr>
        <w:softHyphen/>
        <w:t>ными документами. Прежде всего таким документом является накладная.</w:t>
      </w: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Накладная — учётный документ, выдаваемый поставщиком покупателю или его ответственному представителю при получении товара. Накладная содержит основные характеристики передаваемого товара: единицу измерения, сорт, количество, упаковку, цену, сумму передаваемой партии, название и местонахождение поставщика, отправителя и получателя, основание для передачи товара. По накладной происходит перемещение товара «на сторону».</w:t>
      </w: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Счёт-фактура. Плательщики налога на добавленную стоимость при совершении операций по реализации товаров (работ, услуг) как облагаемых налогом, так и не облагаемых налогом, составляют счета-фактуры и ведут журналы учёта счетов-фактур, книгу продаж по установленным формам. Каждая отгрузка товара (выполнение работы, оказание услуги) оформляются составлением счёта-фактуры и регистрации её в книге продаж и в книге покупок.</w:t>
      </w: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Платежи — одна из ступеней движения товаров, которые надо получить со склада, нагрузить, транспортировать, разгрузить, сдать на склад, отправить в цех предприятия или для реализации в магазин и так далее. Каждый шаг товара на пути продвижения от производителя к потребителю должен быть документально подтверждён. К документам такого рода относятся доверенность, счета, путевые листы, акты, накладные требования.</w:t>
      </w:r>
    </w:p>
    <w:p w:rsidR="006223F5" w:rsidRDefault="006223F5">
      <w:pPr>
        <w:ind w:firstLine="709"/>
        <w:jc w:val="both"/>
        <w:rPr>
          <w:sz w:val="28"/>
        </w:rPr>
      </w:pPr>
    </w:p>
    <w:p w:rsidR="006223F5" w:rsidRDefault="00362FC6" w:rsidP="00362FC6">
      <w:pPr>
        <w:numPr>
          <w:ilvl w:val="0"/>
          <w:numId w:val="14"/>
        </w:numPr>
        <w:ind w:left="1134" w:hanging="567"/>
        <w:jc w:val="both"/>
        <w:rPr>
          <w:sz w:val="28"/>
        </w:rPr>
      </w:pPr>
      <w:r>
        <w:rPr>
          <w:sz w:val="28"/>
        </w:rPr>
        <w:t>Формы годовой отчётности.</w:t>
      </w:r>
    </w:p>
    <w:p w:rsidR="006223F5" w:rsidRDefault="006223F5">
      <w:pPr>
        <w:ind w:firstLine="709"/>
        <w:jc w:val="both"/>
        <w:rPr>
          <w:sz w:val="28"/>
        </w:rPr>
      </w:pPr>
    </w:p>
    <w:p w:rsidR="006223F5" w:rsidRDefault="00362FC6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Положением о бухгалтерском учёте и отчётности в РФ, утверждённым приказом Министерства Финансов РФ от 26.12.1991г. №170 и положением по бухгалтерскому учёту «Бухгалтерская отчётность организации», утверждённая приказом Министерства Финансов РФ от 08.02.1996г. №10:</w:t>
      </w:r>
    </w:p>
    <w:p w:rsidR="006223F5" w:rsidRDefault="00362FC6" w:rsidP="00362FC6">
      <w:pPr>
        <w:numPr>
          <w:ilvl w:val="0"/>
          <w:numId w:val="15"/>
        </w:numPr>
        <w:ind w:left="0" w:firstLine="851"/>
        <w:jc w:val="both"/>
        <w:rPr>
          <w:sz w:val="28"/>
        </w:rPr>
      </w:pPr>
      <w:r>
        <w:rPr>
          <w:sz w:val="28"/>
        </w:rPr>
        <w:t>Утвердить для представления годовой бухгалтерской отчётности юридическими лицами (кроме бюджетных учреждений, страховых организаций и банков) типовые формы (приложение 1 к настоящему приказу) и инструкцию по их заполнению (приложение 2 к настоящему приказу).</w:t>
      </w:r>
    </w:p>
    <w:p w:rsidR="006223F5" w:rsidRDefault="00362FC6" w:rsidP="00362FC6">
      <w:pPr>
        <w:numPr>
          <w:ilvl w:val="0"/>
          <w:numId w:val="15"/>
        </w:numPr>
        <w:ind w:left="0" w:firstLine="851"/>
        <w:jc w:val="both"/>
        <w:rPr>
          <w:sz w:val="28"/>
        </w:rPr>
      </w:pPr>
      <w:r>
        <w:rPr>
          <w:sz w:val="28"/>
        </w:rPr>
        <w:t>В состав годовой бухгалтерской отчётности включаются: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а) бухгалтерский баланс — форма №1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б) отчёт о финансовых результатах — форма №2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в) пояснения к бухгалтерскому балансу и отчёту о финансовых результатах: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отчёт о движении капитала — форма №3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отчёт о движении денежных средств - форма №4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приложение к бухгалтерскому балансу — форма №5</w:t>
      </w:r>
    </w:p>
    <w:p w:rsidR="006223F5" w:rsidRDefault="00362FC6" w:rsidP="00362FC6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пояснительная записка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г) специализированные формы, установленные в соответствии с пунктом 30 Положения о бухгалтерском учёте и отчётности в РФ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д) отчёт об использовании бюджетных ассигнований организаций — форма №2-2, утверждённая Письмом Министерства Финансов России от 27.06.1995г. №61 «О составлении квартальных бухгалтерских отчётов в 1995 и 1996 годах и годового отчёта за 1995 год организациями на бюджете», и Справка об остатках средств, полученных из федерального бюджета, утверждённая Письмом Министерства Финансов России от 09.09.1996 №79 «О составлении бухгалтерских отчётов в 1996 и квартальной отчётности в 1997 году организациями состоящими на бюджете». В случае установления Министерством Финансов России для таких организаций других форм отчётной информации о характере использования бюджетных средств они также должны включаться в состав бухгалтерской отчётности</w:t>
      </w:r>
    </w:p>
    <w:p w:rsidR="006223F5" w:rsidRDefault="00362FC6">
      <w:pPr>
        <w:ind w:firstLine="851"/>
        <w:jc w:val="both"/>
        <w:rPr>
          <w:sz w:val="28"/>
        </w:rPr>
      </w:pPr>
      <w:r>
        <w:rPr>
          <w:sz w:val="28"/>
        </w:rPr>
        <w:t>е) итоговая часть аудиторского заключения, выданного по результатам обязательного по законодательству РФ аудита бухгалтерской отчётности</w:t>
      </w:r>
    </w:p>
    <w:p w:rsidR="006223F5" w:rsidRDefault="00362FC6" w:rsidP="00362FC6">
      <w:pPr>
        <w:numPr>
          <w:ilvl w:val="0"/>
          <w:numId w:val="16"/>
        </w:numPr>
        <w:ind w:left="0" w:firstLine="851"/>
        <w:jc w:val="both"/>
        <w:rPr>
          <w:sz w:val="28"/>
        </w:rPr>
      </w:pPr>
      <w:r>
        <w:rPr>
          <w:sz w:val="28"/>
        </w:rPr>
        <w:t>Годовая бухгалтерская отчётность представляется в обязательном порядке в адреса и в сроки в соответствии с пунктами 75 и 76 Положения о бухгалтерском учёте и отчётности в РФ, а также пунктом 2 Постановления Правительства РФ от 21.04.1995г. №399 «О совершенствовании информационной системы представления бухгалтерской отчётности».</w:t>
      </w:r>
    </w:p>
    <w:p w:rsidR="006223F5" w:rsidRDefault="00362FC6" w:rsidP="00362FC6">
      <w:pPr>
        <w:numPr>
          <w:ilvl w:val="0"/>
          <w:numId w:val="17"/>
        </w:numPr>
        <w:ind w:left="0" w:firstLine="851"/>
        <w:jc w:val="both"/>
        <w:rPr>
          <w:sz w:val="28"/>
        </w:rPr>
      </w:pPr>
      <w:r>
        <w:rPr>
          <w:sz w:val="28"/>
        </w:rPr>
        <w:t>Настоящий приказ вводится в действие с годовой бухгалтерской отчётностью за 1996г.</w:t>
      </w:r>
      <w:bookmarkStart w:id="0" w:name="_GoBack"/>
      <w:bookmarkEnd w:id="0"/>
    </w:p>
    <w:sectPr w:rsidR="006223F5">
      <w:headerReference w:type="even" r:id="rId7"/>
      <w:headerReference w:type="default" r:id="rId8"/>
      <w:pgSz w:w="11907" w:h="16840"/>
      <w:pgMar w:top="1418" w:right="1418" w:bottom="1418" w:left="1418" w:header="680" w:footer="68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F5" w:rsidRDefault="00362FC6">
      <w:r>
        <w:separator/>
      </w:r>
    </w:p>
  </w:endnote>
  <w:endnote w:type="continuationSeparator" w:id="0">
    <w:p w:rsidR="006223F5" w:rsidRDefault="0036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F5" w:rsidRDefault="00362FC6">
      <w:r>
        <w:separator/>
      </w:r>
    </w:p>
  </w:footnote>
  <w:footnote w:type="continuationSeparator" w:id="0">
    <w:p w:rsidR="006223F5" w:rsidRDefault="00362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3F5" w:rsidRDefault="00362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16</w:t>
    </w:r>
    <w:r>
      <w:rPr>
        <w:rStyle w:val="a4"/>
      </w:rPr>
      <w:fldChar w:fldCharType="end"/>
    </w:r>
  </w:p>
  <w:p w:rsidR="006223F5" w:rsidRDefault="006223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3F5" w:rsidRDefault="00362FC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15</w:t>
    </w:r>
    <w:r>
      <w:rPr>
        <w:rStyle w:val="a4"/>
      </w:rPr>
      <w:fldChar w:fldCharType="end"/>
    </w:r>
  </w:p>
  <w:p w:rsidR="006223F5" w:rsidRDefault="006223F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CE52BA70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96B2B608"/>
    <w:lvl w:ilvl="0">
      <w:numFmt w:val="bullet"/>
      <w:lvlText w:val="*"/>
      <w:lvlJc w:val="left"/>
    </w:lvl>
  </w:abstractNum>
  <w:abstractNum w:abstractNumId="2">
    <w:nsid w:val="0A1D3AD8"/>
    <w:multiLevelType w:val="singleLevel"/>
    <w:tmpl w:val="07F2331E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3">
    <w:nsid w:val="11F06A43"/>
    <w:multiLevelType w:val="singleLevel"/>
    <w:tmpl w:val="D090A3BE"/>
    <w:lvl w:ilvl="0">
      <w:start w:val="2"/>
      <w:numFmt w:val="decimal"/>
      <w:lvlText w:val="%1.1."/>
      <w:legacy w:legacy="1" w:legacySpace="0" w:legacyIndent="283"/>
      <w:lvlJc w:val="left"/>
      <w:pPr>
        <w:ind w:left="850" w:hanging="283"/>
      </w:pPr>
    </w:lvl>
  </w:abstractNum>
  <w:abstractNum w:abstractNumId="4">
    <w:nsid w:val="151914B9"/>
    <w:multiLevelType w:val="singleLevel"/>
    <w:tmpl w:val="07F2331E"/>
    <w:lvl w:ilvl="0">
      <w:start w:val="1"/>
      <w:numFmt w:val="decimal"/>
      <w:lvlText w:val="%1."/>
      <w:legacy w:legacy="1" w:legacySpace="0" w:legacyIndent="283"/>
      <w:lvlJc w:val="left"/>
      <w:pPr>
        <w:ind w:left="1275" w:hanging="283"/>
      </w:pPr>
    </w:lvl>
  </w:abstractNum>
  <w:abstractNum w:abstractNumId="5">
    <w:nsid w:val="202324FC"/>
    <w:multiLevelType w:val="singleLevel"/>
    <w:tmpl w:val="402090C0"/>
    <w:lvl w:ilvl="0">
      <w:start w:val="1"/>
      <w:numFmt w:val="decimal"/>
      <w:lvlText w:val="%1.2"/>
      <w:legacy w:legacy="1" w:legacySpace="0" w:legacyIndent="283"/>
      <w:lvlJc w:val="left"/>
    </w:lvl>
  </w:abstractNum>
  <w:abstractNum w:abstractNumId="6">
    <w:nsid w:val="22357698"/>
    <w:multiLevelType w:val="singleLevel"/>
    <w:tmpl w:val="D458C64A"/>
    <w:lvl w:ilvl="0">
      <w:start w:val="2"/>
      <w:numFmt w:val="decimal"/>
      <w:lvlText w:val="%1.2"/>
      <w:legacy w:legacy="1" w:legacySpace="0" w:legacyIndent="283"/>
      <w:lvlJc w:val="left"/>
      <w:pPr>
        <w:ind w:left="850" w:hanging="283"/>
      </w:pPr>
    </w:lvl>
  </w:abstractNum>
  <w:abstractNum w:abstractNumId="7">
    <w:nsid w:val="3BAC7AF7"/>
    <w:multiLevelType w:val="singleLevel"/>
    <w:tmpl w:val="6ACEE4C0"/>
    <w:lvl w:ilvl="0">
      <w:start w:val="2"/>
      <w:numFmt w:val="decimal"/>
      <w:lvlText w:val="%1.3."/>
      <w:legacy w:legacy="1" w:legacySpace="0" w:legacyIndent="283"/>
      <w:lvlJc w:val="left"/>
      <w:pPr>
        <w:ind w:left="850" w:hanging="283"/>
      </w:pPr>
    </w:lvl>
  </w:abstractNum>
  <w:abstractNum w:abstractNumId="8">
    <w:nsid w:val="40D025AD"/>
    <w:multiLevelType w:val="singleLevel"/>
    <w:tmpl w:val="0B529F68"/>
    <w:lvl w:ilvl="0">
      <w:start w:val="3"/>
      <w:numFmt w:val="decimal"/>
      <w:lvlText w:val="%1.1."/>
      <w:legacy w:legacy="1" w:legacySpace="0" w:legacyIndent="283"/>
      <w:lvlJc w:val="left"/>
      <w:pPr>
        <w:ind w:left="850" w:hanging="283"/>
      </w:pPr>
    </w:lvl>
  </w:abstractNum>
  <w:abstractNum w:abstractNumId="9">
    <w:nsid w:val="4F595B2F"/>
    <w:multiLevelType w:val="singleLevel"/>
    <w:tmpl w:val="BDB8EE5C"/>
    <w:lvl w:ilvl="0">
      <w:start w:val="3"/>
      <w:numFmt w:val="decimal"/>
      <w:lvlText w:val="%1.3."/>
      <w:legacy w:legacy="1" w:legacySpace="0" w:legacyIndent="283"/>
      <w:lvlJc w:val="left"/>
      <w:pPr>
        <w:ind w:left="850" w:hanging="283"/>
      </w:pPr>
    </w:lvl>
  </w:abstractNum>
  <w:abstractNum w:abstractNumId="10">
    <w:nsid w:val="5974068C"/>
    <w:multiLevelType w:val="singleLevel"/>
    <w:tmpl w:val="D04EE6FA"/>
    <w:lvl w:ilvl="0">
      <w:start w:val="3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11">
    <w:nsid w:val="6BDC2D8F"/>
    <w:multiLevelType w:val="singleLevel"/>
    <w:tmpl w:val="07F2331E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abstractNum w:abstractNumId="12">
    <w:nsid w:val="6F7A6A73"/>
    <w:multiLevelType w:val="singleLevel"/>
    <w:tmpl w:val="07D61288"/>
    <w:lvl w:ilvl="0">
      <w:start w:val="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74B04E58"/>
    <w:multiLevelType w:val="singleLevel"/>
    <w:tmpl w:val="9A86A6C0"/>
    <w:lvl w:ilvl="0">
      <w:start w:val="3"/>
      <w:numFmt w:val="decimal"/>
      <w:lvlText w:val="%1.2."/>
      <w:legacy w:legacy="1" w:legacySpace="0" w:legacyIndent="283"/>
      <w:lvlJc w:val="left"/>
      <w:pPr>
        <w:ind w:left="850" w:hanging="283"/>
      </w:pPr>
    </w:lvl>
  </w:abstractNum>
  <w:abstractNum w:abstractNumId="14">
    <w:nsid w:val="78E24EEB"/>
    <w:multiLevelType w:val="multilevel"/>
    <w:tmpl w:val="C2C2218C"/>
    <w:lvl w:ilvl="0">
      <w:start w:val="1"/>
      <w:numFmt w:val="decimal"/>
      <w:lvlText w:val="%1.1."/>
      <w:legacy w:legacy="1" w:legacySpace="0" w:legacyIndent="0"/>
      <w:lvlJc w:val="left"/>
    </w:lvl>
    <w:lvl w:ilvl="1">
      <w:start w:val="1"/>
      <w:numFmt w:val="decimal"/>
      <w:lvlText w:val="%1.1.%2."/>
      <w:legacy w:legacy="1" w:legacySpace="0" w:legacyIndent="0"/>
      <w:lvlJc w:val="left"/>
    </w:lvl>
    <w:lvl w:ilvl="2">
      <w:start w:val="1"/>
      <w:numFmt w:val="decimal"/>
      <w:lvlText w:val="%1.1.%2.%3."/>
      <w:legacy w:legacy="1" w:legacySpace="0" w:legacyIndent="0"/>
      <w:lvlJc w:val="left"/>
    </w:lvl>
    <w:lvl w:ilvl="3">
      <w:start w:val="1"/>
      <w:numFmt w:val="decimal"/>
      <w:lvlText w:val="%1.1.%2.%3.%4."/>
      <w:legacy w:legacy="1" w:legacySpace="0" w:legacyIndent="0"/>
      <w:lvlJc w:val="left"/>
    </w:lvl>
    <w:lvl w:ilvl="4">
      <w:start w:val="1"/>
      <w:numFmt w:val="decimal"/>
      <w:lvlText w:val="%1.1.%2.%3.%4.%5."/>
      <w:legacy w:legacy="1" w:legacySpace="0" w:legacyIndent="0"/>
      <w:lvlJc w:val="left"/>
    </w:lvl>
    <w:lvl w:ilvl="5">
      <w:start w:val="1"/>
      <w:numFmt w:val="decimal"/>
      <w:lvlText w:val="%1.1.%2.%3.%4.%5.%6."/>
      <w:legacy w:legacy="1" w:legacySpace="0" w:legacyIndent="0"/>
      <w:lvlJc w:val="left"/>
    </w:lvl>
    <w:lvl w:ilvl="6">
      <w:start w:val="1"/>
      <w:numFmt w:val="decimal"/>
      <w:lvlText w:val="%1.1.%2.%3.%4.%5.%6.%7."/>
      <w:legacy w:legacy="1" w:legacySpace="0" w:legacyIndent="0"/>
      <w:lvlJc w:val="left"/>
    </w:lvl>
    <w:lvl w:ilvl="7">
      <w:start w:val="1"/>
      <w:numFmt w:val="decimal"/>
      <w:lvlText w:val="%1.1.%2.%3.%4.%5.%6.%7.%8."/>
      <w:legacy w:legacy="1" w:legacySpace="0" w:legacyIndent="0"/>
      <w:lvlJc w:val="left"/>
    </w:lvl>
    <w:lvl w:ilvl="8">
      <w:start w:val="1"/>
      <w:numFmt w:val="decimal"/>
      <w:lvlText w:val="%1.1.%2.%3.%4.%5.%6.%7.%8.%9."/>
      <w:legacy w:legacy="1" w:legacySpace="0" w:legacyIndent="0"/>
      <w:lvlJc w:val="left"/>
    </w:lvl>
  </w:abstractNum>
  <w:abstractNum w:abstractNumId="15">
    <w:nsid w:val="79921913"/>
    <w:multiLevelType w:val="singleLevel"/>
    <w:tmpl w:val="50402DBE"/>
    <w:lvl w:ilvl="0">
      <w:start w:val="2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4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69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FC6"/>
    <w:rsid w:val="00092EC5"/>
    <w:rsid w:val="00362FC6"/>
    <w:rsid w:val="006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3EA23-FC9C-4D07-A0A7-5968D891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4095</Words>
  <Characters>23347</Characters>
  <Application>Microsoft Office Word</Application>
  <DocSecurity>0</DocSecurity>
  <Lines>194</Lines>
  <Paragraphs>54</Paragraphs>
  <ScaleCrop>false</ScaleCrop>
  <Company>ИЧП СИНБАТ</Company>
  <LinksUpToDate>false</LinksUpToDate>
  <CharactersWithSpaces>27388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история предприятия ОАО «Ахтуба»</dc:title>
  <dc:subject/>
  <dc:creator>Сопот Т.А.</dc:creator>
  <cp:keywords/>
  <dc:description/>
  <cp:lastModifiedBy>Irina</cp:lastModifiedBy>
  <cp:revision>2</cp:revision>
  <cp:lastPrinted>1998-08-25T01:21:00Z</cp:lastPrinted>
  <dcterms:created xsi:type="dcterms:W3CDTF">2014-09-05T14:23:00Z</dcterms:created>
  <dcterms:modified xsi:type="dcterms:W3CDTF">2014-09-05T14:23:00Z</dcterms:modified>
</cp:coreProperties>
</file>