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6C" w:rsidRDefault="0059036C">
      <w:pPr>
        <w:ind w:left="-851" w:right="-668"/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>А.Т. Чорманов , Е.Ш. Идрышев-Абзалбек</w:t>
      </w:r>
    </w:p>
    <w:p w:rsidR="0059036C" w:rsidRDefault="0059036C">
      <w:pPr>
        <w:ind w:left="-851" w:right="-66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9036C" w:rsidRDefault="0059036C">
      <w:pPr>
        <w:ind w:left="-851" w:right="-668"/>
        <w:rPr>
          <w:sz w:val="28"/>
          <w:szCs w:val="28"/>
        </w:rPr>
      </w:pPr>
      <w:r>
        <w:rPr>
          <w:sz w:val="28"/>
          <w:szCs w:val="28"/>
        </w:rPr>
        <w:t xml:space="preserve">                    Лейкоцитарный индекс интоксикации у больных с желчно-каменной болезнью.</w:t>
      </w:r>
    </w:p>
    <w:p w:rsidR="0059036C" w:rsidRDefault="0059036C">
      <w:pPr>
        <w:ind w:left="-851" w:right="-668"/>
        <w:rPr>
          <w:sz w:val="28"/>
          <w:szCs w:val="28"/>
        </w:rPr>
      </w:pPr>
    </w:p>
    <w:p w:rsidR="0059036C" w:rsidRDefault="0059036C">
      <w:pPr>
        <w:ind w:left="-851" w:right="-668"/>
        <w:rPr>
          <w:sz w:val="28"/>
          <w:szCs w:val="28"/>
        </w:rPr>
      </w:pPr>
    </w:p>
    <w:p w:rsidR="0059036C" w:rsidRDefault="0059036C">
      <w:pPr>
        <w:ind w:right="-668"/>
        <w:rPr>
          <w:sz w:val="28"/>
          <w:szCs w:val="28"/>
        </w:rPr>
      </w:pPr>
      <w:r>
        <w:rPr>
          <w:sz w:val="28"/>
          <w:szCs w:val="28"/>
        </w:rPr>
        <w:t>Научный руководитель Д.М.Н. проф. Н.И.Оразбеков</w:t>
      </w:r>
    </w:p>
    <w:p w:rsidR="0059036C" w:rsidRDefault="0059036C">
      <w:pPr>
        <w:ind w:left="-851" w:right="-668"/>
        <w:rPr>
          <w:sz w:val="28"/>
          <w:szCs w:val="28"/>
        </w:rPr>
      </w:pPr>
    </w:p>
    <w:p w:rsidR="0059036C" w:rsidRDefault="0059036C">
      <w:pPr>
        <w:ind w:left="-851" w:right="-668"/>
        <w:rPr>
          <w:sz w:val="28"/>
          <w:szCs w:val="28"/>
        </w:rPr>
      </w:pPr>
    </w:p>
    <w:p w:rsidR="0059036C" w:rsidRDefault="0059036C">
      <w:pPr>
        <w:pStyle w:val="a3"/>
      </w:pPr>
      <w:r>
        <w:t>Расчёт лейкоцитарного индекса интоксикации (ЛИИ) предназначен для определения степени интоксикации при гнойно – воспалительных заболеваниях любой локализации. ЛИИ имеет важное значение как для контроля за лечением так и для прогноза болезни. Клиническое значение ЛИИ заключается в определении тяжести гнойно – воспалительного процесса, а также возможности применения его как критерия, помогающего наряду с клиническими и лабораторными исследованиями, диагностировать прогрессирование процесса или развитие гнойного осложнения.</w:t>
      </w:r>
    </w:p>
    <w:p w:rsidR="0059036C" w:rsidRDefault="0059036C">
      <w:pPr>
        <w:ind w:left="-851" w:right="-668" w:firstLine="567"/>
        <w:rPr>
          <w:sz w:val="28"/>
          <w:szCs w:val="28"/>
        </w:rPr>
      </w:pPr>
      <w:r>
        <w:rPr>
          <w:sz w:val="28"/>
          <w:szCs w:val="28"/>
        </w:rPr>
        <w:t>Существует несколько формул расчёта ЛИИ, такие как</w:t>
      </w:r>
      <w:r w:rsidRPr="0059036C">
        <w:rPr>
          <w:sz w:val="28"/>
          <w:szCs w:val="28"/>
        </w:rPr>
        <w:t>:</w:t>
      </w:r>
      <w:r>
        <w:rPr>
          <w:sz w:val="28"/>
          <w:szCs w:val="28"/>
        </w:rPr>
        <w:t xml:space="preserve"> Кальф –Калифа Я.Я(1941), Фищенко Ф.Я. (1989), Островского В.К.(1983).</w:t>
      </w:r>
    </w:p>
    <w:p w:rsidR="0059036C" w:rsidRDefault="0059036C">
      <w:pPr>
        <w:ind w:left="-851" w:right="-668" w:firstLine="567"/>
        <w:rPr>
          <w:sz w:val="28"/>
          <w:szCs w:val="28"/>
        </w:rPr>
      </w:pPr>
      <w:r>
        <w:rPr>
          <w:sz w:val="28"/>
          <w:szCs w:val="28"/>
        </w:rPr>
        <w:t>Формула Кальф – Калифа по анализу литературных данных не получила широкого применения, что обусловлено сложностью его расчёта и трудностью запоминания. Нами была выбрана формула Островского, так как она более упрощена и легко запоминаема. Это формула расчёта ЛИИ, в которой в числителе находиться сумма процентного содержания клеток миелоидного ряда, а в знаменателе сумма остальных клеток белой крови.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Формула расчёта ЛИИ по Островскому В.К.(1983)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ПК + миел. + ю. + п. + с.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ЛИИ =  ------------------------------------------------------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Лимф. + мон. + э. +б.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 ПК – плазматические клетки, миел. – миелоциты, ю. – юные, п. – палочкоядерные, с. – сегментоядерные, Лимф. – лимфоциты, мон. – моноциты, э. – эозинофилы, б. – базофилы.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расчёте ЛИИ норма составляет 1,6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0,5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расчёта ЛИИ были взяты больные со 2 и 3 хирургических отделений НЦХ им. А.Н.Сызганова. При хирургических заболеваниях ЛИИ изучен нами у 40 больных, мужчин было – 15 человек, женщин – 25. Возрастной контингент исследуемых больных был от 18 до 75 лет. Все больные находились в стационаре с диагнозом желчнокаменная болезнь (ЖКБ).</w:t>
      </w:r>
    </w:p>
    <w:p w:rsidR="0059036C" w:rsidRDefault="0059036C">
      <w:pPr>
        <w:pStyle w:val="a4"/>
        <w:ind w:left="-851"/>
      </w:pPr>
      <w:r>
        <w:t xml:space="preserve">         17 из них были с осложнениями основного заболевания и у 23 отмечено не осложнённое её течение. Основными осложнениями ЖКБ явились: водянка желчного пузыря, местный серозный перитонит, хронический индуративный панкреатит, стеноз большого дуоденального соска, механическая желтуха и гнойный холангит. Все больные были оперированы, из них у 13 прооизведены лапаротомные холецистэктомии, и у 27 лапароскопические холецистэктомии. </w:t>
      </w:r>
    </w:p>
    <w:p w:rsidR="0059036C" w:rsidRDefault="0059036C">
      <w:pPr>
        <w:ind w:left="-851" w:right="-668"/>
        <w:rPr>
          <w:sz w:val="28"/>
          <w:szCs w:val="28"/>
        </w:rPr>
      </w:pPr>
    </w:p>
    <w:p w:rsidR="0059036C" w:rsidRDefault="0059036C">
      <w:pPr>
        <w:pStyle w:val="1"/>
      </w:pPr>
      <w:r>
        <w:t>Таблица 1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ЛИИ, пульс и температура у больных с ЖКБ.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tbl>
      <w:tblPr>
        <w:tblW w:w="0" w:type="auto"/>
        <w:tblInd w:w="-7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984"/>
        <w:gridCol w:w="3119"/>
        <w:gridCol w:w="2551"/>
      </w:tblGrid>
      <w:tr w:rsidR="0059036C">
        <w:trPr>
          <w:cantSplit/>
          <w:trHeight w:val="385"/>
        </w:trPr>
        <w:tc>
          <w:tcPr>
            <w:tcW w:w="1580" w:type="dxa"/>
            <w:vMerge w:val="restart"/>
            <w:tcBorders>
              <w:right w:val="dashed" w:sz="4" w:space="0" w:color="auto"/>
            </w:tcBorders>
            <w:vAlign w:val="center"/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7654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59036C" w:rsidRDefault="0059036C">
            <w:pPr>
              <w:pStyle w:val="2"/>
            </w:pPr>
            <w:r>
              <w:t>Группы обследованых</w:t>
            </w:r>
          </w:p>
        </w:tc>
      </w:tr>
      <w:tr w:rsidR="0059036C">
        <w:trPr>
          <w:cantSplit/>
          <w:trHeight w:val="868"/>
        </w:trPr>
        <w:tc>
          <w:tcPr>
            <w:tcW w:w="158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036C" w:rsidRDefault="0059036C">
            <w:pPr>
              <w:ind w:right="-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с неосложнён-</w:t>
            </w: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ЖКБ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с ослож-</w:t>
            </w: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нённой ЖКБ</w:t>
            </w:r>
          </w:p>
        </w:tc>
      </w:tr>
      <w:tr w:rsidR="0059036C">
        <w:trPr>
          <w:cantSplit/>
          <w:trHeight w:val="770"/>
        </w:trPr>
        <w:tc>
          <w:tcPr>
            <w:tcW w:w="158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пульс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60 -80</w:t>
            </w: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78,9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2,2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80,2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1,8</w:t>
            </w:r>
          </w:p>
        </w:tc>
      </w:tr>
      <w:tr w:rsidR="0059036C">
        <w:trPr>
          <w:cantSplit/>
          <w:trHeight w:val="837"/>
        </w:trPr>
        <w:tc>
          <w:tcPr>
            <w:tcW w:w="15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Темп-ра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9036C" w:rsidRDefault="0059036C">
            <w:pPr>
              <w:ind w:right="-6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</w:t>
            </w:r>
          </w:p>
          <w:p w:rsidR="0059036C" w:rsidRDefault="0059036C">
            <w:pPr>
              <w:ind w:right="-668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36 С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0,5-1,0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36,2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0,05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36,7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0,1</w:t>
            </w:r>
          </w:p>
        </w:tc>
      </w:tr>
      <w:tr w:rsidR="0059036C">
        <w:trPr>
          <w:cantSplit/>
          <w:trHeight w:val="916"/>
        </w:trPr>
        <w:tc>
          <w:tcPr>
            <w:tcW w:w="1580" w:type="dxa"/>
            <w:tcBorders>
              <w:top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ЛИИ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0,2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>1,07</w:t>
            </w:r>
          </w:p>
        </w:tc>
      </w:tr>
    </w:tbl>
    <w:p w:rsidR="0059036C" w:rsidRDefault="0059036C">
      <w:pPr>
        <w:ind w:left="-851" w:right="-668" w:firstLine="567"/>
        <w:rPr>
          <w:sz w:val="28"/>
          <w:szCs w:val="28"/>
        </w:rPr>
      </w:pPr>
    </w:p>
    <w:p w:rsidR="0059036C" w:rsidRDefault="0059036C">
      <w:pPr>
        <w:ind w:left="-851" w:right="-668" w:firstLine="567"/>
        <w:rPr>
          <w:sz w:val="28"/>
          <w:szCs w:val="28"/>
        </w:rPr>
      </w:pPr>
    </w:p>
    <w:p w:rsidR="0059036C" w:rsidRDefault="0059036C">
      <w:pPr>
        <w:ind w:left="-851" w:right="-668" w:firstLine="567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таблице  1 показано, что у больных с не осложнённой формой ЖКБ пульс и температура находятся в пределах нормы, но ЛИИ повышен в 1,1 раз по сравнению с нормой. У больных с осложнённой формой ЖКБ пульс находился на верхней границе нормы, температура не претерпевала существенных изменений, а ЛИИ повышался в 2,1 раз по сравнению с нормой. Следовательно, судя по средним показателям пульса и температуры можно сказать, что в обеих группах больных они изменяются в незначительной степени, или практически соответствуют норме. ЛИИ при не осложнённых формах ЖКБ повышался за счёт основного заболевания, а во второй группе больных он повышался за счёт присоединения к основному заболеванию какого-либо осложнения из выше перечисленных. Следовательно показатель ЛИИ является более достоверным в диагностике осложнённых форм ЖКБ.</w:t>
      </w:r>
    </w:p>
    <w:p w:rsidR="0059036C" w:rsidRDefault="0059036C">
      <w:pPr>
        <w:ind w:left="-851" w:right="-668" w:firstLine="567"/>
        <w:rPr>
          <w:sz w:val="28"/>
          <w:szCs w:val="28"/>
        </w:rPr>
      </w:pPr>
    </w:p>
    <w:p w:rsidR="0059036C" w:rsidRDefault="0059036C">
      <w:pPr>
        <w:ind w:left="-851" w:right="-668" w:firstLine="567"/>
        <w:rPr>
          <w:sz w:val="28"/>
          <w:szCs w:val="28"/>
        </w:rPr>
      </w:pPr>
    </w:p>
    <w:p w:rsidR="0059036C" w:rsidRDefault="0059036C">
      <w:pPr>
        <w:pStyle w:val="1"/>
      </w:pPr>
      <w:r>
        <w:t>Таблица 2</w:t>
      </w: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</w:p>
    <w:p w:rsidR="0059036C" w:rsidRDefault="0059036C">
      <w:pPr>
        <w:ind w:left="-851" w:right="-66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Динамика ЛИИ, пульса и температуры у больных после операции.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tbl>
      <w:tblPr>
        <w:tblW w:w="0" w:type="auto"/>
        <w:tblInd w:w="-7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3935"/>
        <w:gridCol w:w="3566"/>
      </w:tblGrid>
      <w:tr w:rsidR="0059036C">
        <w:trPr>
          <w:trHeight w:val="854"/>
        </w:trPr>
        <w:tc>
          <w:tcPr>
            <w:tcW w:w="1976" w:type="dxa"/>
            <w:tcBorders>
              <w:bottom w:val="single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9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операции</w:t>
            </w:r>
          </w:p>
        </w:tc>
        <w:tc>
          <w:tcPr>
            <w:tcW w:w="3566" w:type="dxa"/>
            <w:tcBorders>
              <w:left w:val="dashed" w:sz="4" w:space="0" w:color="auto"/>
              <w:bottom w:val="single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 операции</w:t>
            </w:r>
          </w:p>
        </w:tc>
      </w:tr>
      <w:tr w:rsidR="0059036C">
        <w:trPr>
          <w:trHeight w:val="955"/>
        </w:trPr>
        <w:tc>
          <w:tcPr>
            <w:tcW w:w="197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пульс</w:t>
            </w:r>
          </w:p>
        </w:tc>
        <w:tc>
          <w:tcPr>
            <w:tcW w:w="39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76,4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1,4</w:t>
            </w:r>
          </w:p>
        </w:tc>
        <w:tc>
          <w:tcPr>
            <w:tcW w:w="356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>1,1</w:t>
            </w:r>
          </w:p>
        </w:tc>
      </w:tr>
      <w:tr w:rsidR="0059036C">
        <w:trPr>
          <w:trHeight w:val="1088"/>
        </w:trPr>
        <w:tc>
          <w:tcPr>
            <w:tcW w:w="19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Темп-ра</w:t>
            </w:r>
          </w:p>
        </w:tc>
        <w:tc>
          <w:tcPr>
            <w:tcW w:w="39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36,7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0,06</w:t>
            </w:r>
          </w:p>
        </w:tc>
        <w:tc>
          <w:tcPr>
            <w:tcW w:w="3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36,7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>0,08</w:t>
            </w:r>
          </w:p>
        </w:tc>
      </w:tr>
      <w:tr w:rsidR="0059036C">
        <w:trPr>
          <w:trHeight w:val="1088"/>
        </w:trPr>
        <w:tc>
          <w:tcPr>
            <w:tcW w:w="1976" w:type="dxa"/>
            <w:tcBorders>
              <w:top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ЛИИ</w:t>
            </w:r>
          </w:p>
        </w:tc>
        <w:tc>
          <w:tcPr>
            <w:tcW w:w="39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2,7 </w:t>
            </w:r>
            <w:r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0,4</w:t>
            </w:r>
          </w:p>
        </w:tc>
        <w:tc>
          <w:tcPr>
            <w:tcW w:w="3566" w:type="dxa"/>
            <w:tcBorders>
              <w:top w:val="dashed" w:sz="4" w:space="0" w:color="auto"/>
              <w:left w:val="dashed" w:sz="4" w:space="0" w:color="auto"/>
            </w:tcBorders>
          </w:tcPr>
          <w:p w:rsidR="0059036C" w:rsidRDefault="0059036C">
            <w:pPr>
              <w:ind w:right="-668"/>
              <w:rPr>
                <w:sz w:val="28"/>
                <w:szCs w:val="28"/>
              </w:rPr>
            </w:pPr>
          </w:p>
          <w:p w:rsidR="0059036C" w:rsidRDefault="0059036C">
            <w:pPr>
              <w:ind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2,8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>0,6</w:t>
            </w:r>
          </w:p>
        </w:tc>
      </w:tr>
    </w:tbl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2 мы видим, что пульс и температура до операции находились в пределах нормы, но ЛИИ повышался в 1,6 раза по сравнению с нормой. После операции отмечено незначительное учащение пульса, температура не изменялась. ЛИИ повышался в 1,7 раза по сравнению с нормой. Незначительное повышение ЛИИ после операции по сравнению с ЛИИ до операции связано с травматичностью операции и поступлением в организм токсических продуктов, образующихся при разделении и размозжении тканей вследствие нарушения процессов отграничения. При адекватной терапии в послеоперационном периоде ЛИИ у больных обеих форм с ЖКБ постепенно  снижался и к моменту выписки из стационара он достигал нормы (1,7 </w:t>
      </w:r>
      <w:r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 xml:space="preserve"> 0,3).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надо отметить, что применение ЛИИ в условиях хирургической и терапевтической клиники имеет большое значение для оценки степени интоксикации и эффективности лечения. Наряду с высокой диагностической ценностью определение в динамике индекса по Островскому В.К.(1983) позволяет своевременно выявить развитие осложнений и прогрессирование процесса при неадекватном лечении.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9036C" w:rsidRDefault="0059036C">
      <w:pPr>
        <w:ind w:left="-851" w:right="-668" w:firstLine="567"/>
        <w:jc w:val="both"/>
        <w:rPr>
          <w:sz w:val="28"/>
          <w:szCs w:val="28"/>
        </w:rPr>
      </w:pP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Фищенко А.Я. Клиническая хирургия 1989 9 Киев Здоровье стр.68-69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Мурашев З.М. Изменение ЛИИ в пред- и послеоперационном периоде у больных холециститом (Сов. Мед. 1975 2 стр. 112-116)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Островский В.К. Свитич Ю.Н. ЛИИ при острых гнойных и воспалительных заболеваний лёгких.(Вестник хирургии им. И.И. Грекова  1983 т. 131 11 стр. 21-24)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Верник С.Д. Применение ЛИИ для оценки эффективности лечения инфильтратов(Хирургия 1972 9 стр. 84-87)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Кальф-Калиф Я.Я. О ЛИИ и его практическое значение (Врачебное дело 1941 1 стр.31-33)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Сазонов А.М. Муромский Ю.А. Некоторые вопросы лечения острых осложнённых абсцессов лёгких (Сов. Мед. 1979 12 стр. 11-15)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Сухоруков В.П. О ЛИИ (Клин. Хирургия 1982 1 стр. 20-22)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Прохоров А.М. Большая Советская Энциклопедия. Москва Сов. Энциклопедия стр. 417</w:t>
      </w:r>
    </w:p>
    <w:p w:rsidR="0059036C" w:rsidRDefault="0059036C">
      <w:pPr>
        <w:numPr>
          <w:ilvl w:val="0"/>
          <w:numId w:val="3"/>
        </w:numPr>
        <w:ind w:right="-668"/>
        <w:jc w:val="both"/>
        <w:rPr>
          <w:sz w:val="28"/>
          <w:szCs w:val="28"/>
        </w:rPr>
      </w:pPr>
      <w:r>
        <w:rPr>
          <w:sz w:val="28"/>
          <w:szCs w:val="28"/>
        </w:rPr>
        <w:t>Прохоров А.М. Большая Советская Энциклопедия. Москва Сов. Энциклопедия  стр. 223</w:t>
      </w:r>
    </w:p>
    <w:p w:rsidR="0059036C" w:rsidRDefault="0059036C">
      <w:pPr>
        <w:ind w:right="-668"/>
        <w:jc w:val="both"/>
        <w:rPr>
          <w:sz w:val="28"/>
          <w:szCs w:val="28"/>
        </w:rPr>
      </w:pPr>
    </w:p>
    <w:p w:rsidR="0059036C" w:rsidRDefault="0059036C">
      <w:pPr>
        <w:ind w:left="-851" w:right="-668" w:firstLine="567"/>
        <w:rPr>
          <w:sz w:val="28"/>
          <w:szCs w:val="28"/>
        </w:rPr>
      </w:pPr>
      <w:bookmarkStart w:id="0" w:name="_GoBack"/>
      <w:bookmarkEnd w:id="0"/>
    </w:p>
    <w:sectPr w:rsidR="0059036C">
      <w:pgSz w:w="11906" w:h="16838"/>
      <w:pgMar w:top="1134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62BEA"/>
    <w:multiLevelType w:val="singleLevel"/>
    <w:tmpl w:val="C03E9AA4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5BE070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9F7FD1"/>
    <w:multiLevelType w:val="singleLevel"/>
    <w:tmpl w:val="C03E9AA4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6C"/>
    <w:rsid w:val="003C2BE0"/>
    <w:rsid w:val="0059036C"/>
    <w:rsid w:val="00685460"/>
    <w:rsid w:val="00917567"/>
    <w:rsid w:val="00B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D6778E-707D-4DEC-AFDE-4DE9D44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-851" w:right="-668" w:firstLine="5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668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lock Text"/>
    <w:basedOn w:val="a"/>
    <w:uiPriority w:val="99"/>
    <w:pPr>
      <w:ind w:left="-851" w:right="-668" w:firstLine="567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ind w:right="-668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А</vt:lpstr>
    </vt:vector>
  </TitlesOfParts>
  <Company>Дом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А</dc:title>
  <dc:subject/>
  <dc:creator>Дамир</dc:creator>
  <cp:keywords/>
  <dc:description/>
  <cp:lastModifiedBy>admin</cp:lastModifiedBy>
  <cp:revision>2</cp:revision>
  <cp:lastPrinted>1999-01-27T18:29:00Z</cp:lastPrinted>
  <dcterms:created xsi:type="dcterms:W3CDTF">2014-02-17T10:15:00Z</dcterms:created>
  <dcterms:modified xsi:type="dcterms:W3CDTF">2014-02-17T10:15:00Z</dcterms:modified>
</cp:coreProperties>
</file>