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C8" w:rsidRPr="00F672AA" w:rsidRDefault="00B541C8" w:rsidP="00F672AA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F672AA">
        <w:rPr>
          <w:b/>
          <w:sz w:val="28"/>
          <w:szCs w:val="32"/>
        </w:rPr>
        <w:t>Министерство образования Российской Федерации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F672AA">
        <w:rPr>
          <w:b/>
          <w:sz w:val="28"/>
          <w:szCs w:val="32"/>
        </w:rPr>
        <w:t>Пензенский Государственный Университет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F672AA">
        <w:rPr>
          <w:b/>
          <w:sz w:val="28"/>
          <w:szCs w:val="32"/>
        </w:rPr>
        <w:t>Медицинский Институт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B541C8" w:rsidRPr="00F672AA" w:rsidRDefault="00B541C8" w:rsidP="00F672AA">
      <w:pPr>
        <w:widowControl w:val="0"/>
        <w:spacing w:line="360" w:lineRule="auto"/>
        <w:ind w:firstLine="709"/>
        <w:jc w:val="center"/>
        <w:outlineLvl w:val="0"/>
        <w:rPr>
          <w:b/>
          <w:sz w:val="28"/>
          <w:szCs w:val="32"/>
        </w:rPr>
      </w:pPr>
      <w:r w:rsidRPr="00F672AA">
        <w:rPr>
          <w:b/>
          <w:sz w:val="28"/>
          <w:szCs w:val="32"/>
        </w:rPr>
        <w:t>Кафедра Инфекционных болезней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541C8" w:rsidRPr="00F672AA" w:rsidRDefault="00B541C8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541C8" w:rsidRPr="00F672AA" w:rsidRDefault="00B541C8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541C8" w:rsidRPr="00F672AA" w:rsidRDefault="00F672AA" w:rsidP="00EB18FE">
      <w:pPr>
        <w:widowControl w:val="0"/>
        <w:spacing w:line="360" w:lineRule="auto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Зав. кафедрой д.м.н.,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541C8" w:rsidRPr="00F672AA" w:rsidRDefault="00B541C8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541C8" w:rsidRPr="00F672AA" w:rsidRDefault="00B541C8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541C8" w:rsidRPr="00F672AA" w:rsidRDefault="00B541C8" w:rsidP="00F672AA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F672AA">
        <w:rPr>
          <w:sz w:val="28"/>
          <w:szCs w:val="36"/>
        </w:rPr>
        <w:t>Реферат</w:t>
      </w:r>
      <w:r w:rsidR="00F672AA">
        <w:rPr>
          <w:sz w:val="28"/>
          <w:szCs w:val="36"/>
        </w:rPr>
        <w:t xml:space="preserve"> </w:t>
      </w:r>
      <w:r w:rsidRPr="00F672AA">
        <w:rPr>
          <w:sz w:val="28"/>
          <w:szCs w:val="36"/>
        </w:rPr>
        <w:t>на тему:</w:t>
      </w:r>
    </w:p>
    <w:p w:rsidR="00B541C8" w:rsidRPr="00F672AA" w:rsidRDefault="00B541C8" w:rsidP="00F672AA">
      <w:pPr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F672AA">
        <w:rPr>
          <w:b/>
          <w:sz w:val="28"/>
          <w:szCs w:val="36"/>
        </w:rPr>
        <w:t>«Лихорадочные состояния при неинфекционных заболеваниях»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541C8" w:rsidRPr="00F672AA" w:rsidRDefault="00B541C8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541C8" w:rsidRPr="00F672AA" w:rsidRDefault="00B541C8" w:rsidP="00F672AA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F672AA">
        <w:rPr>
          <w:sz w:val="28"/>
          <w:szCs w:val="28"/>
        </w:rPr>
        <w:t xml:space="preserve">Выполнила: студентка </w:t>
      </w:r>
      <w:r w:rsidRPr="00F672AA">
        <w:rPr>
          <w:sz w:val="28"/>
          <w:szCs w:val="28"/>
          <w:lang w:val="en-US"/>
        </w:rPr>
        <w:t>V</w:t>
      </w:r>
      <w:r w:rsidR="00F672AA">
        <w:rPr>
          <w:sz w:val="28"/>
          <w:szCs w:val="28"/>
        </w:rPr>
        <w:t xml:space="preserve"> курса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F672AA">
        <w:rPr>
          <w:sz w:val="28"/>
          <w:szCs w:val="28"/>
        </w:rPr>
        <w:t>Проверил: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к.м.н., доцент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B541C8" w:rsidRPr="00F672AA" w:rsidRDefault="00B541C8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541C8" w:rsidRPr="00F672AA" w:rsidRDefault="00B541C8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541C8" w:rsidRPr="00F672AA" w:rsidRDefault="00B541C8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541C8" w:rsidRDefault="00B541C8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672AA" w:rsidRDefault="00F672AA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672AA" w:rsidRDefault="00F672AA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672AA" w:rsidRDefault="00F672AA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672AA" w:rsidRDefault="00F672AA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672AA" w:rsidRDefault="00F672AA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672AA" w:rsidRPr="00F672AA" w:rsidRDefault="00F672AA" w:rsidP="00F672A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541C8" w:rsidRPr="00F672AA" w:rsidRDefault="00B541C8" w:rsidP="00F672AA">
      <w:pPr>
        <w:pStyle w:val="a3"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F672AA">
        <w:rPr>
          <w:b/>
          <w:sz w:val="28"/>
          <w:szCs w:val="32"/>
        </w:rPr>
        <w:t>Пенза</w:t>
      </w:r>
      <w:r w:rsidR="00F672AA">
        <w:rPr>
          <w:b/>
          <w:sz w:val="28"/>
          <w:szCs w:val="32"/>
        </w:rPr>
        <w:t xml:space="preserve"> </w:t>
      </w:r>
      <w:r w:rsidRPr="00F672AA">
        <w:rPr>
          <w:b/>
          <w:sz w:val="28"/>
          <w:szCs w:val="32"/>
        </w:rPr>
        <w:t>2008</w:t>
      </w:r>
    </w:p>
    <w:p w:rsidR="00B541C8" w:rsidRPr="00EB18FE" w:rsidRDefault="00F672AA" w:rsidP="00F672AA">
      <w:pPr>
        <w:pStyle w:val="1"/>
        <w:keepNext w:val="0"/>
        <w:spacing w:line="360" w:lineRule="auto"/>
        <w:ind w:firstLine="851"/>
        <w:jc w:val="left"/>
        <w:rPr>
          <w:b/>
          <w:color w:val="000000"/>
          <w:szCs w:val="32"/>
        </w:rPr>
      </w:pPr>
      <w:r>
        <w:rPr>
          <w:b/>
          <w:szCs w:val="32"/>
        </w:rPr>
        <w:br w:type="page"/>
      </w:r>
      <w:r w:rsidR="00B541C8" w:rsidRPr="00EB18FE">
        <w:rPr>
          <w:b/>
          <w:color w:val="000000"/>
          <w:szCs w:val="32"/>
        </w:rPr>
        <w:t>План</w:t>
      </w:r>
    </w:p>
    <w:p w:rsidR="00F672AA" w:rsidRPr="00F672AA" w:rsidRDefault="00F672AA" w:rsidP="00F672AA"/>
    <w:p w:rsidR="00B541C8" w:rsidRPr="00F672AA" w:rsidRDefault="00F672AA" w:rsidP="00F672AA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541C8" w:rsidRPr="00F672AA">
        <w:rPr>
          <w:color w:val="000000"/>
          <w:sz w:val="28"/>
          <w:szCs w:val="28"/>
        </w:rPr>
        <w:t>Острый медиастинит</w:t>
      </w:r>
    </w:p>
    <w:p w:rsidR="00B541C8" w:rsidRPr="00F672AA" w:rsidRDefault="00F672AA" w:rsidP="00F672AA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541C8" w:rsidRPr="00F672AA">
        <w:rPr>
          <w:color w:val="000000"/>
          <w:sz w:val="28"/>
          <w:szCs w:val="28"/>
        </w:rPr>
        <w:t>Лихорадочное состояние у урологических больных</w:t>
      </w:r>
    </w:p>
    <w:p w:rsidR="00B541C8" w:rsidRPr="00F672AA" w:rsidRDefault="00F672AA" w:rsidP="00F672AA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B541C8" w:rsidRPr="00F672AA">
        <w:rPr>
          <w:color w:val="000000"/>
          <w:sz w:val="28"/>
          <w:szCs w:val="28"/>
        </w:rPr>
        <w:t>Лихорадочное состояние у эндокринологических больных</w:t>
      </w:r>
    </w:p>
    <w:p w:rsidR="00B541C8" w:rsidRPr="00F672AA" w:rsidRDefault="00B541C8" w:rsidP="00F672AA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F672AA">
        <w:rPr>
          <w:color w:val="000000"/>
          <w:sz w:val="28"/>
          <w:szCs w:val="28"/>
        </w:rPr>
        <w:t>Литература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41C8" w:rsidRPr="00F672AA" w:rsidRDefault="00F672AA" w:rsidP="00F672A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B541C8" w:rsidRPr="00F672AA">
        <w:rPr>
          <w:b/>
          <w:sz w:val="28"/>
          <w:szCs w:val="32"/>
        </w:rPr>
        <w:t>1. ОСТРЫЙ МЕДИАСТИНИТ</w:t>
      </w:r>
    </w:p>
    <w:p w:rsidR="00F672AA" w:rsidRDefault="00F672AA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Причинами острого нагноительного процесса в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средостении могут быть открытые повреждения средостения, повреждения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пищевода, трахеи и бронхов, осложнения операций на органах средостения, контактное или метастическое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распространение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инфекции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(гематогенное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или лимфогенное). Процесс может быть ограниченным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(абсцесс)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или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диффузным (флегмона).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В зависимости от локализации ограниченного гнойного процесса различают передний, задний, верхний и нижний медиастинит. По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характеру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клинического течения могут быть выделены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следующие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формы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медиастинита: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1) молниеносная форма, наблюдающаяся чаще при гнилостных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анаэробных флегмонах средостения, когда больные погибают от тяжелейшей интоксикации в течение первых 2 суток; 2) острая форма, при которой заболевание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протекает менее бурно, но и для этой формы характерно тяжелое течение с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преобладание общих явлений интоксикации; 3) подострая форма, которая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может развиться при маловирулентной инфекции и применении антибиотиков.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Клиническая картина заболевания чаще всего начинается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внезапно. Температура повышается до 39-40 ˚С и вначале бывает постоянной,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а затем гектической; появляются озноб, сменяющийся проливным потом,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тахикардия до 120-140 ударов в 1 минуту, выраженная интоксикация, одышка. Обнаруживаются типичные изменения в картине крови (нарастающий лейкоцитоз со сдвигом формулы крови влево). Ряд местных признаков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имеют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существенное значение для диагностики, однако иногда они оказываются весьма скудными. Боль в грудной клетке является наиболее ранним и частым признаком медистинита. Нередко боль усиливается при глотании, а также при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запрокидывании головы назад. Локализация боли в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значительной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степени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зависит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от распространенности нагноительного процесса.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переднем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медиастините обычно возникает загрудинная боль, а при заднем - боль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межлопаточной области. Острый прободной нижний медистинит часто вызывает резкую боль в животе, сопровождающуюся ложными (иррадиационными)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местными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признаками острого прободного перитонита.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При локализации процесса в верхнем средостении боль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может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отдавать в верхние конечности. Усиление боли при смещении трахеи во время пальпации - также признак верхнего медистинита. Усиление боли при надавливании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на грудину отмечается при переднем медиастините, а при надавливании на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остистые отростки грудных позвонков - при заднем. При ограниченных абсцессах заднего средостения определяется дисфагия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-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от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легкого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нарушения глотания до почти полной непроходимости пищевода. При ограниченных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абсцессах, расположенных в непосредственной близости от трахеи,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вследствие ее сдавления и отека иногда наблюдается удушье или сухой кашель, а также осиплость голоса, при раздражении диафрагмального нерва могут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появиться неукротимая икота или синдром Горнера.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При пальпации нередко отмечается крепитация в яремной ямке 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надключичных пространствах за счет подкожной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эмфиземы,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обычно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наблюдающейся при медистинитах, возникающих после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перфорации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пищевода.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Кроме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того, крепитация может возникнуть при анаэробной инфекции.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Необходимо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учитывать и возможность появления эмфиземы не в связи с медиастинитом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(травма или спонтанный разрыв легкого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с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повреждением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медистинальной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плевры). Клиническая симптоматика острого медиастинита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может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существенно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изменяться при развитии тех или иных осложнений.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Нередко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переход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воспалительного процесса на плевру (с одной или с обеих сторон) и перикард дает картину сопутствующего реактивного плеврита и перикардита с соответствующими физическими и клиническим признаками. При ранении пищевода, проникающем в полость плевры, медиастинит и эмпиема плевры развиваются одновременно. В запущенных случаях нередким осложнением является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кровотечение из крупных сосудов чаще вследствие гнойной аррозии сосудистой стенки.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Особенности медиастинита у детей. Воспалительный процесс в клетчатке средостения у детей наряду с обычными причинами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может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быть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обусловлен острым гнойным процессом в легком и плевре. В целом у детей более выражена склонность к генерализации гнойного процесса в средостении, тем более заметная, чем меньше возраст больного. Особенностью клиники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медиастинита, обусловленного перфорацией пищевода, у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детей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является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быстрое ухудшение общего состояния в связи с нарастающей интоксикацией, при этом характерна высокая температура, которая носит упорный характер. У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детей перфорация пищевода инородным телом выявить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значительно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труднее,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так как часто отсутствует анамнестические данные. Поэтому в этих случаях медиастиниты нередко ошибочно принимают за пневмонию или плеврит, что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ведет к запоздалой диагностике. Как правило, у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грудных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детей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появляется гиперлейкоцитоз, достигающий 40,10</w:t>
      </w:r>
      <w:r w:rsidRPr="00F672AA">
        <w:rPr>
          <w:sz w:val="28"/>
          <w:szCs w:val="28"/>
          <w:vertAlign w:val="superscript"/>
        </w:rPr>
        <w:t>9</w:t>
      </w:r>
      <w:r w:rsidRPr="00F672AA">
        <w:rPr>
          <w:sz w:val="28"/>
          <w:szCs w:val="28"/>
        </w:rPr>
        <w:t>/л и выше, что может вызывать затруднение в дифференцировании заболевания от лейкоза.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Ранняя диагностика медиастинита - трудная задача; правильному диагнозу, прежде всего, помогает ренгенологическое исследование.</w:t>
      </w:r>
    </w:p>
    <w:p w:rsidR="00B541C8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Неотложная помощь и госпитализация. Все больные острым медиастинитом при подозрении на него подлежат немедленной госпитализации в хирургический стационар. При остром медиастините показано оперативное лечение, которое проводят одновременно с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применением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консервативных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мероприятий. Цель оперативного вмешательства заключается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адекватном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дренировании застойного очага и прекращении поступления инфицированного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содержимого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из поврежденного органа. Хорошие результаты получены при методе герметичного дренирования средостения, когда к зоне поражения средостения подводят двухпросветные силиконовые дренажи для аслирационно-промывания лечения.</w:t>
      </w:r>
    </w:p>
    <w:p w:rsidR="00B541C8" w:rsidRPr="00F672AA" w:rsidRDefault="00F672AA" w:rsidP="00F672A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B541C8" w:rsidRPr="00F672AA">
        <w:rPr>
          <w:b/>
          <w:sz w:val="28"/>
          <w:szCs w:val="32"/>
        </w:rPr>
        <w:t>2. ЛИХОРАДОЧНОЕ СОСТОЯНИЕ У УРОЛОГИЧЕСКИХ БОЛЬНЫХ</w:t>
      </w:r>
    </w:p>
    <w:p w:rsidR="00F672AA" w:rsidRDefault="00F672AA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При заболеваниях органов мочевой и половой систем лихорадочные состояния могут быть важнейшим начальным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симптомом,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особенно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воспалительных урологических заболеваниях.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ОСТРЫЙ ПИЕЛОНЕФРИТ - заболевание почек, в первую очередь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интерстициальной ткани (с вовлечением в процесс чашечно-лоханочной системы), обусловленное неспецифическим возбудителем. Как правило,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кишечная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палочка, стафилококки, стрептококки, протей попадают в мозговой слой почки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гематогенным путем либо уриногенным восходящим путем. В последнем случае заболевание бывает обусловлено препятствием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к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оттоку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мочи,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чаще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всего конкрементом или рефлюксом. При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гематогенном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(первичном)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пиелонефрите заболевание начинается с подъема температуры (до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39-40 ˚С),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потрясающих ознобов, головной боли. Через 2-3 дня возникает боль в поясничной области на стороне пораженной почки, состояние больного ухудшается в связи с выраженной интоксикацией (сухость во рту, тошнота, жажда, бледность,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потливость). Резкие колебания температуры в течение суток являются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признаком возможной бактериемии. При пальпации почки отмечается болезненность; с этой же стороны выявляют положительный симптом Пастернацкого,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умеренное напряжение мышц живота, болезненность при пальпации в реберно-позвоночном углу. При исследовании мочи выявляют большое количество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лейкоцитов, умеренное количество белка и эритроцитов. В крови -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лейкоцитоз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до 15000-17000, сдвиг лейкоцитарной формулы влево. Если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у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больного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после почечной колики появляются высокая температура,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озноб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интоксикация, можно думать о наличии вторичного пиелонефрита (восходящего,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возникшего вследствие препятствия оттоку мочи).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АПОСТЕМАТОЗНЫЙ НЕФРИТ, КАРБУНКУЛ ПОЧКИ, ПАРАНЕФРИТ. 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развитии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этих заболеваний может свидетельствовать гектический характер температуры при тяжелом общем состоянии больного, резкая боль в костовертебральном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углу на стороне поражения, резко выраженный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палочкоядерный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сдвиг.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длительности и высоте подъема температуры тела судят о прогрессировании или стихании воспалительного процесса в почке. Отсутствие тенденции к нормализации температуры к 6-8-му дню болезни указывает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на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прогрессирование гнойного процесса, формирование микроабсцессов или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карбункула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почки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и требует незамедлительного решения вопроса об оперативном лечении.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ОСТРЫЙ ПРОСТАТИТ может быть причиной внезапного повышения температуры у мужчин. Клиническая картина нередко бывает не со - всем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ческой.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Чаще всего имеют место тупые боли в крестце и промежности, неприятные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ощущения при мочеиспускании, дизурия, вплоть до задержки мочеиспускания.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При ректальном исследовании определяют увеличенную напряженную и болезненную предстательную железу. Высокая температура при остром ее воспалении дает основание предположить возможность начинающегося абсцедирования, а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размягчение и флюктуация в предстательной железе подтверждают этот диагноз.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ОСТРЫЙ ЭПИДИДИМООРХИТ. Клиническая картина характеризуется повышением температуры, резкой болью в области яичка 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увеличением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его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размеров. Переход температуры в гектическую указывает на начало абсцедирования,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а появление размягчения и флюктуации на ограниченном участке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увеличенного яичка подтверждает этот диагноз.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ЗЛОКАЧЕСТВЕННЫЕ НОВООБРАЗОВАНИЯ ПОЧЕК И МОЧЕВОГО ПУЗЫРЯ. Один из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них признаков - периодические кратковременные повышения температуры до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38 ˚С без каких-либо других симптомов интоксикации. Отличительной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чертой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этой лихорадки являются ее неправильный тип и кратковременность.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 xml:space="preserve">Неотложная помощь. Назначаются жаропонижающие средства (ацетилсалициловая кислота по </w:t>
      </w:r>
      <w:smartTag w:uri="urn:schemas-microsoft-com:office:smarttags" w:element="metricconverter">
        <w:smartTagPr>
          <w:attr w:name="ProductID" w:val="0,5 г"/>
        </w:smartTagPr>
        <w:r w:rsidRPr="00F672AA">
          <w:rPr>
            <w:sz w:val="28"/>
            <w:szCs w:val="28"/>
          </w:rPr>
          <w:t>0,5 г</w:t>
        </w:r>
      </w:smartTag>
      <w:r w:rsidRPr="00F672AA">
        <w:rPr>
          <w:sz w:val="28"/>
          <w:szCs w:val="28"/>
        </w:rPr>
        <w:t xml:space="preserve">, амидопирин по </w:t>
      </w:r>
      <w:smartTag w:uri="urn:schemas-microsoft-com:office:smarttags" w:element="metricconverter">
        <w:smartTagPr>
          <w:attr w:name="ProductID" w:val="0,25 г"/>
        </w:smartTagPr>
        <w:r w:rsidRPr="00F672AA">
          <w:rPr>
            <w:sz w:val="28"/>
            <w:szCs w:val="28"/>
          </w:rPr>
          <w:t>0,25 г</w:t>
        </w:r>
      </w:smartTag>
      <w:r w:rsidRPr="00F672AA">
        <w:rPr>
          <w:sz w:val="28"/>
          <w:szCs w:val="28"/>
        </w:rPr>
        <w:t>.). При остром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пиелонефрите необходимы строгий постельный режим 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обильное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питье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(лучше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почечный чай, фруктовые соки), количество поваренной соли в пище не уменьшают.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 первые же часы назначают антибактериальную терапию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-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либо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антибиотики широкого спектра действия в максимальных дозах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тетраолеан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 xml:space="preserve">(сигмамицин) по 250 мг 2 раза в сутки внутривенно и др., либо фурагин по </w:t>
      </w:r>
      <w:smartTag w:uri="urn:schemas-microsoft-com:office:smarttags" w:element="metricconverter">
        <w:smartTagPr>
          <w:attr w:name="ProductID" w:val="0,1 г"/>
        </w:smartTagPr>
        <w:r w:rsidRPr="00F672AA">
          <w:rPr>
            <w:sz w:val="28"/>
            <w:szCs w:val="28"/>
          </w:rPr>
          <w:t>0,1 г</w:t>
        </w:r>
      </w:smartTag>
      <w:r w:rsidRPr="00F672AA">
        <w:rPr>
          <w:sz w:val="28"/>
          <w:szCs w:val="28"/>
        </w:rPr>
        <w:t xml:space="preserve"> 4 раза в день или неграм по 1г 4 раза в день, или 5-НОК по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0,1-</w:t>
      </w:r>
      <w:smartTag w:uri="urn:schemas-microsoft-com:office:smarttags" w:element="metricconverter">
        <w:smartTagPr>
          <w:attr w:name="ProductID" w:val="0,2 г"/>
        </w:smartTagPr>
        <w:r w:rsidRPr="00F672AA">
          <w:rPr>
            <w:sz w:val="28"/>
            <w:szCs w:val="28"/>
          </w:rPr>
          <w:t>0,2</w:t>
        </w:r>
        <w:r w:rsidR="00F672AA">
          <w:rPr>
            <w:sz w:val="28"/>
            <w:szCs w:val="28"/>
          </w:rPr>
          <w:t xml:space="preserve"> </w:t>
        </w:r>
        <w:r w:rsidRPr="00F672AA">
          <w:rPr>
            <w:sz w:val="28"/>
            <w:szCs w:val="28"/>
          </w:rPr>
          <w:t>г</w:t>
        </w:r>
      </w:smartTag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4 раза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 xml:space="preserve">в день. После острого периода заболевания антибактериальную терапию следует продолжать в более низкой дозировке (фурагин по </w:t>
      </w:r>
      <w:smartTag w:uri="urn:schemas-microsoft-com:office:smarttags" w:element="metricconverter">
        <w:smartTagPr>
          <w:attr w:name="ProductID" w:val="10 л"/>
        </w:smartTagPr>
        <w:r w:rsidRPr="00F672AA">
          <w:rPr>
            <w:sz w:val="28"/>
            <w:szCs w:val="28"/>
          </w:rPr>
          <w:t>0,05 г</w:t>
        </w:r>
      </w:smartTag>
      <w:r w:rsidRPr="00F672AA">
        <w:rPr>
          <w:sz w:val="28"/>
          <w:szCs w:val="28"/>
        </w:rPr>
        <w:t xml:space="preserve"> 3 раза в день) в течение 2-3 недель. При апостематозном нефрите, карбункуле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почки,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паранефрите противовоспалительное лечение в большинстве случаев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оказывается неэффективным и его в условиях стационара дополняют обнажением почки, ее декапсуляцией, а при необходимости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дренированием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лоханки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пиелостомой, нефростомой или стентом.</w:t>
      </w:r>
    </w:p>
    <w:p w:rsidR="00B541C8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Госпитализация. Больные острым пиелонефритом,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апостематозным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нефритом, острым паранефритом, карбункулом почки, острым эпидимитом и простатитом подлежат экстренной госпитализации в урологический стационар,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так как эти заболевания жизненно опасны и могут потребовать срочных хирургических мер или реанимации при развитии бактериемического шока.</w:t>
      </w:r>
    </w:p>
    <w:p w:rsidR="00B541C8" w:rsidRPr="00F672AA" w:rsidRDefault="00F672AA" w:rsidP="00F672A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B541C8" w:rsidRPr="00F672AA">
        <w:rPr>
          <w:b/>
          <w:sz w:val="28"/>
          <w:szCs w:val="32"/>
        </w:rPr>
        <w:t>3. ЛИХОРАДОЧНЫЕ СОСТОЯНИЯ ПРИ ЭНДОКРИННЫХ БОЛЕЗНЯХ</w:t>
      </w:r>
    </w:p>
    <w:p w:rsidR="00F672AA" w:rsidRDefault="00F672AA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ТИРОТОКСИЧЕСКИЙ КРИЗ - осложнение диффузного токсического зоба,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возникающего под влиянием провоцирующих факторов, таких как операции на щитовидной железе, интеркуррентные инфекционные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заболевания,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психическая травма, грубая пальпация щитовидной железы, операции или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травма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других органов, токсикоз беременных, прием симпатотропных лекарственных средств или резкая отмена антитироидной терапии. Чаще развивается в теплое время года.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Тиротоксический криз характеризуется острым началом в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виде лавинообразного нарастания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симптомов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тиротоксикоза.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Температура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фебрильная, иногда до 38-40 ˚С. Усиливается психическое и двигательное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беспокойство, в тяжелых случаях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моторно-сенсорное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возбуждение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напоминает острый маниакальный психоз. Больные испытывают сердцебиение, страх смерти, удушье, боль в области сердца, головную боль. Кожа горячая,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гиперемированная, мокрая от профузного пота.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Отмечаются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одышка,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тахикардия, достигающая 150 ударов в минуту, часто аритмия. Может развиться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сердечно-сосудистая недостаточность. Нарушение функции ЦНС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проявляется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также генерализованной слабостью, особенно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проксимальных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мышц,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спутанностью сознания. Изменения функции желудочно-кишечного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тракта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характеризуется болью в животе с тошнотой, рвотой, диареей, иногда слегка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увеличивается и уплотняется печень и появляется желтуха, что является плохим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прогностическим признаком. Рвота, диарея и повышение температуры тела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приводят к дегидратации организма. Смерть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тиротоксическом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кризе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наступает вследствие гиповолемического шока, комы и сердечной недостаточности.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Диагноз. В анамнезе всегда имеется указание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на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наличие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у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больного диффузного токсического зоба. Выявляются изменения на ЭКГ: синусовая тахикардия, увеличиение амплитуды зубцов комплекса QRS и Т, мерцание предсердий, нарушение внутрижелудочковой проводимости.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Неотложная помощь. На догоспитальном этапе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проводят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оксигенотерапию со скоростью 5-</w:t>
      </w:r>
      <w:smartTag w:uri="urn:schemas-microsoft-com:office:smarttags" w:element="metricconverter">
        <w:smartTagPr>
          <w:attr w:name="ProductID" w:val="10 л"/>
        </w:smartTagPr>
        <w:r w:rsidRPr="00F672AA">
          <w:rPr>
            <w:sz w:val="28"/>
            <w:szCs w:val="28"/>
          </w:rPr>
          <w:t>10 л</w:t>
        </w:r>
      </w:smartTag>
      <w:r w:rsidRPr="00F672AA">
        <w:rPr>
          <w:sz w:val="28"/>
          <w:szCs w:val="28"/>
        </w:rPr>
        <w:t xml:space="preserve"> в минуту, а также внутривенную инфузию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5%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раствора глюкозы со скоростью 0,5 л/ч.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При поступлении в стационар необходимо определение содержания Т3, Т4, ТТГ, глюкозы, электролитов, РС02, Р02 в крови, исследование функций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печени и почек; не ожидая результатов исследования, продолжают инфузию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5% раствора глюкозы и 0,9% раствора натрия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хлорида.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Необходим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постоянный ЭКГ-контроль за деятельностью сердца. При артериальной гипотонии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вводят вазопрессорные вещества, а при сердечнососудистой недостаточности - сердечные гликозиды (строфантии, коргликон). В случаях средней тяжести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одновременно с этим назначают внутрь бета-адреноблокаторы (индерал,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анаприлин, обзидан до 240-300 мг в сутки). В тяжелых случаях бета-адреноблокаторы вводят по 1-10 мг внутривенно со скоростью 1 мг/мин каждые 3-6 часов и под контролем ЭКГ.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Показано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введение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глюкокортикоидов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(гидрокортизона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гемисукцината 200-600 мг в сутки, преднизолона гемисукцината 200-300 мг в сутки),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которые вводят парентерально каждые 6 часов. Бета-адреноблокаторы 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глюкокортикоиды, помимо основного специфического действия, угнетают конверсию на периферии Т4 и Т3 и этим способствуют купированию тиротоксического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криза.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Лечение тиростатическими препаратами проводятся во всех случаях тиротоксического криза. Применяется мерказолил до 100 мг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сутки.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Большие дозы препаратов йода уменьшают высвобождение тироидных гормонов из щитовидной железы и быстро снижают содержание тироидных гормонов в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сыворотке крови. Внутривено вводят по 100 мл 10% раствора натрия йодида каждые 8 часов и в виде внутривенной инфузии или дают внутрь раствор Люголя по 30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капель в день или 10-12% раствор калия йодида по столовой ложке каждые 8 часов. Лечение препаратами йода после купирования тиротоксического криза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продолжается еще в течение 2 нед. Необходимо иметь в виду, что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препараты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йода должны вводиться лишь через 2-4 и после применения тиростатических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препаратов, но не до их приема.</w:t>
      </w:r>
    </w:p>
    <w:p w:rsidR="00B541C8" w:rsidRDefault="00B541C8" w:rsidP="00F672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2AA">
        <w:rPr>
          <w:sz w:val="28"/>
          <w:szCs w:val="28"/>
        </w:rPr>
        <w:t>Показана внутривенная инфузия контрикала (40000 ЕД в 500 мл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изотонического раствора натрия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хлорида),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после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введения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которого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состояние больных быстро улучшается. Для коррекции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выраженных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микроциркуляторных нарушений, наряду с внутривенной инфузией изотонического раствора натрия хлорида и 5% раствора глюкозы, применяют реополиглюкин, гемодез, растворы альбумина. Общий объем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вводимых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растворов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не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должен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превышать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4 л/сут. Необходимо также вводить витамин В1 (тиамина хлорид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или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бромид) по 50-100 мг в день, витамин В2 (рибофлавина мононуклеотид) по 40-50</w:t>
      </w:r>
      <w:r w:rsidR="00F672AA">
        <w:rPr>
          <w:sz w:val="28"/>
          <w:szCs w:val="28"/>
        </w:rPr>
        <w:t xml:space="preserve"> </w:t>
      </w:r>
      <w:r w:rsidRPr="00F672AA">
        <w:rPr>
          <w:sz w:val="28"/>
          <w:szCs w:val="28"/>
        </w:rPr>
        <w:t>мг в день и никотинамид 100200 мг в день.</w:t>
      </w:r>
    </w:p>
    <w:p w:rsidR="00B541C8" w:rsidRPr="00F672AA" w:rsidRDefault="00F672AA" w:rsidP="00F672AA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sz w:val="28"/>
          <w:szCs w:val="28"/>
        </w:rPr>
        <w:br w:type="page"/>
      </w:r>
      <w:r w:rsidR="00B541C8" w:rsidRPr="00F672AA">
        <w:rPr>
          <w:b/>
          <w:color w:val="000000"/>
          <w:sz w:val="28"/>
          <w:szCs w:val="32"/>
        </w:rPr>
        <w:t>ЛИТЕРАТУРА</w:t>
      </w:r>
    </w:p>
    <w:p w:rsidR="00F672AA" w:rsidRPr="00F672AA" w:rsidRDefault="00F672AA" w:rsidP="00F672AA">
      <w:pPr>
        <w:widowControl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541C8" w:rsidRPr="00F672AA" w:rsidRDefault="00B541C8" w:rsidP="00F672AA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</w:rPr>
      </w:pPr>
      <w:r w:rsidRPr="00F672AA">
        <w:rPr>
          <w:color w:val="000000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F672AA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F672AA">
        <w:rPr>
          <w:color w:val="000000"/>
          <w:sz w:val="28"/>
        </w:rPr>
        <w:t xml:space="preserve"> </w:t>
      </w:r>
      <w:r w:rsidRPr="00F672AA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F672AA">
        <w:rPr>
          <w:color w:val="000000"/>
          <w:sz w:val="28"/>
        </w:rPr>
        <w:t xml:space="preserve"> </w:t>
      </w:r>
      <w:r w:rsidRPr="00F672AA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B541C8" w:rsidRPr="00F672AA" w:rsidRDefault="00B541C8" w:rsidP="00F672AA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672AA">
        <w:rPr>
          <w:color w:val="000000"/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</w:p>
    <w:p w:rsidR="00B541C8" w:rsidRPr="00F672AA" w:rsidRDefault="00B541C8" w:rsidP="00F672AA">
      <w:pPr>
        <w:widowControl w:val="0"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B541C8" w:rsidRPr="00F672AA" w:rsidSect="00B56DBA">
      <w:footerReference w:type="even" r:id="rId7"/>
      <w:footerReference w:type="default" r:id="rId8"/>
      <w:type w:val="nextColumn"/>
      <w:pgSz w:w="11906" w:h="16838" w:code="9"/>
      <w:pgMar w:top="1134" w:right="851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BEC" w:rsidRDefault="00473BEC">
      <w:r>
        <w:separator/>
      </w:r>
    </w:p>
  </w:endnote>
  <w:endnote w:type="continuationSeparator" w:id="0">
    <w:p w:rsidR="00473BEC" w:rsidRDefault="0047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C8" w:rsidRDefault="00B541C8" w:rsidP="004810DA">
    <w:pPr>
      <w:pStyle w:val="a4"/>
      <w:framePr w:wrap="around" w:vAnchor="text" w:hAnchor="margin" w:xAlign="right" w:y="1"/>
      <w:rPr>
        <w:rStyle w:val="a6"/>
      </w:rPr>
    </w:pPr>
  </w:p>
  <w:p w:rsidR="00B541C8" w:rsidRDefault="00B541C8" w:rsidP="00B541C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C8" w:rsidRDefault="00FF76CD" w:rsidP="004810DA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B541C8" w:rsidRDefault="00B541C8" w:rsidP="00B541C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BEC" w:rsidRDefault="00473BEC">
      <w:r>
        <w:separator/>
      </w:r>
    </w:p>
  </w:footnote>
  <w:footnote w:type="continuationSeparator" w:id="0">
    <w:p w:rsidR="00473BEC" w:rsidRDefault="0047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1C8"/>
    <w:rsid w:val="00473BEC"/>
    <w:rsid w:val="004810DA"/>
    <w:rsid w:val="008453A1"/>
    <w:rsid w:val="00964E1A"/>
    <w:rsid w:val="00B541C8"/>
    <w:rsid w:val="00B56DBA"/>
    <w:rsid w:val="00EB18FE"/>
    <w:rsid w:val="00F672AA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FC7D91-255E-416B-8650-D613ED12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1C8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B541C8"/>
  </w:style>
  <w:style w:type="paragraph" w:styleId="a4">
    <w:name w:val="footer"/>
    <w:basedOn w:val="a"/>
    <w:link w:val="a5"/>
    <w:uiPriority w:val="99"/>
    <w:rsid w:val="00B541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541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2014-02-25T02:29:00Z</dcterms:created>
  <dcterms:modified xsi:type="dcterms:W3CDTF">2014-02-25T02:29:00Z</dcterms:modified>
</cp:coreProperties>
</file>