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140D" w:rsidRDefault="00A1140D">
      <w:pPr>
        <w:pStyle w:val="3"/>
        <w:ind w:right="84"/>
        <w:rPr>
          <w:rFonts w:ascii="Times New Roman" w:hAnsi="Times New Roman"/>
          <w:lang w:val="en-US"/>
        </w:rPr>
      </w:pPr>
    </w:p>
    <w:p w:rsidR="00A1140D" w:rsidRDefault="003C7F05">
      <w:pPr>
        <w:pStyle w:val="3"/>
        <w:ind w:right="84"/>
        <w:rPr>
          <w:sz w:val="36"/>
        </w:rPr>
      </w:pPr>
      <w:r>
        <w:rPr>
          <w:rFonts w:ascii="Times New Roman" w:hAnsi="Times New Roman"/>
          <w:lang w:val="en-US"/>
        </w:rPr>
        <w:t xml:space="preserve">       </w:t>
      </w:r>
      <w:r>
        <w:rPr>
          <w:rFonts w:ascii="Times New Roman" w:hAnsi="Times New Roman"/>
        </w:rPr>
        <w:t xml:space="preserve">                                   </w:t>
      </w:r>
      <w:r>
        <w:rPr>
          <w:rFonts w:ascii="Times New Roman" w:hAnsi="Times New Roman"/>
          <w:sz w:val="36"/>
          <w:lang w:val="en-US"/>
        </w:rPr>
        <w:t xml:space="preserve"> </w:t>
      </w:r>
      <w:r>
        <w:rPr>
          <w:rFonts w:ascii="Izhitsa" w:hAnsi="Izhitsa"/>
          <w:sz w:val="36"/>
        </w:rPr>
        <w:t>Противодиарейные средства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2351"/>
        <w:gridCol w:w="1902"/>
        <w:gridCol w:w="1225"/>
        <w:gridCol w:w="2177"/>
      </w:tblGrid>
      <w:tr w:rsidR="00A1140D">
        <w:tc>
          <w:tcPr>
            <w:tcW w:w="25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i/>
              </w:rPr>
            </w:pPr>
            <w:r>
              <w:rPr>
                <w:i/>
              </w:rPr>
              <w:t>Действие препарата</w:t>
            </w:r>
          </w:p>
        </w:tc>
        <w:tc>
          <w:tcPr>
            <w:tcW w:w="2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i/>
              </w:rPr>
            </w:pPr>
            <w:r>
              <w:rPr>
                <w:i/>
              </w:rPr>
              <w:t>Действующее вещество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i/>
              </w:rPr>
            </w:pPr>
            <w:r>
              <w:rPr>
                <w:i/>
              </w:rPr>
              <w:t>Препараты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i/>
              </w:rPr>
            </w:pPr>
            <w:r>
              <w:rPr>
                <w:i/>
              </w:rPr>
              <w:t>Лек. Формы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1140D" w:rsidRDefault="003C7F05">
            <w:pPr>
              <w:rPr>
                <w:i/>
              </w:rPr>
            </w:pPr>
            <w:r>
              <w:rPr>
                <w:i/>
              </w:rPr>
              <w:t>Режим дозирования</w:t>
            </w:r>
          </w:p>
        </w:tc>
      </w:tr>
      <w:tr w:rsidR="00A1140D">
        <w:tc>
          <w:tcPr>
            <w:tcW w:w="2518" w:type="dxa"/>
            <w:tcBorders>
              <w:top w:val="single" w:sz="6" w:space="0" w:color="auto"/>
              <w:bottom w:val="nil"/>
              <w:right w:val="single" w:sz="6" w:space="0" w:color="auto"/>
            </w:tcBorders>
          </w:tcPr>
          <w:p w:rsidR="00A1140D" w:rsidRDefault="003C7F05">
            <w:pPr>
              <w:rPr>
                <w:rFonts w:ascii="Arbat" w:hAnsi="Arbat"/>
              </w:rPr>
            </w:pPr>
            <w:r>
              <w:rPr>
                <w:lang w:val="en-US"/>
              </w:rPr>
              <w:t>I.</w:t>
            </w:r>
            <w:r>
              <w:rPr>
                <w:rFonts w:ascii="Arbat" w:hAnsi="Arbat"/>
              </w:rPr>
              <w:t xml:space="preserve"> Обволакивающее,</w:t>
            </w:r>
          </w:p>
          <w:p w:rsidR="00A1140D" w:rsidRDefault="003C7F05">
            <w:pPr>
              <w:rPr>
                <w:rFonts w:ascii="Arbat" w:hAnsi="Arbat"/>
              </w:rPr>
            </w:pPr>
            <w:r>
              <w:rPr>
                <w:rFonts w:ascii="Arbat" w:hAnsi="Arbat"/>
              </w:rPr>
              <w:t>адсорбирующее и</w:t>
            </w:r>
          </w:p>
          <w:p w:rsidR="00A1140D" w:rsidRDefault="003C7F05">
            <w:r>
              <w:rPr>
                <w:rFonts w:ascii="Arbat" w:hAnsi="Arbat"/>
              </w:rPr>
              <w:t>противовоспалитель</w:t>
            </w:r>
            <w:r>
              <w:rPr>
                <w:rFonts w:ascii="Arbat" w:hAnsi="Arbat"/>
              </w:rPr>
              <w:softHyphen/>
              <w:t>ное</w:t>
            </w:r>
          </w:p>
        </w:tc>
        <w:tc>
          <w:tcPr>
            <w:tcW w:w="23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1140D" w:rsidRDefault="003C7F05">
            <w:r>
              <w:t xml:space="preserve"> Атта</w:t>
            </w:r>
            <w:r>
              <w:softHyphen/>
              <w:t>пульгит</w:t>
            </w:r>
          </w:p>
          <w:p w:rsidR="00A1140D" w:rsidRDefault="00A1140D"/>
          <w:p w:rsidR="00A1140D" w:rsidRDefault="00A1140D"/>
          <w:p w:rsidR="00A1140D" w:rsidRDefault="00A1140D"/>
          <w:p w:rsidR="00A1140D" w:rsidRDefault="00A1140D"/>
          <w:p w:rsidR="00A1140D" w:rsidRDefault="003C7F05">
            <w:r>
              <w:t xml:space="preserve">Висмута субсалицилат     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Каопектат</w:t>
            </w:r>
          </w:p>
          <w:p w:rsidR="00A1140D" w:rsidRDefault="00A1140D">
            <w:pPr>
              <w:rPr>
                <w:b/>
              </w:rPr>
            </w:pP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Неоинтестопан</w:t>
            </w: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Десмол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Таблетки Суспензия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Таблетки</w:t>
            </w: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Таблетки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Гель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nil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р.д.2т(2ст.л.)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м.с.д.12т(14ст.л)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н.д. 4т, далее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п.к.ж.с. по 2т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м.с.д. 14т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р.д. 2т(2ст.л.),повтор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ч-з 1/2-1ч,но не более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8 раз в сутки</w:t>
            </w:r>
          </w:p>
        </w:tc>
      </w:tr>
      <w:tr w:rsidR="00A1140D">
        <w:tc>
          <w:tcPr>
            <w:tcW w:w="25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numPr>
                <w:ilvl w:val="0"/>
                <w:numId w:val="1"/>
              </w:numPr>
              <w:rPr>
                <w:rFonts w:ascii="Arbat" w:hAnsi="Arbat"/>
              </w:rPr>
            </w:pPr>
            <w:r>
              <w:rPr>
                <w:rFonts w:ascii="Arbat" w:hAnsi="Arbat"/>
              </w:rPr>
              <w:t>Вяжущее,</w:t>
            </w:r>
          </w:p>
          <w:p w:rsidR="00A1140D" w:rsidRDefault="003C7F05">
            <w:pPr>
              <w:rPr>
                <w:rFonts w:ascii="Arbat" w:hAnsi="Arbat"/>
              </w:rPr>
            </w:pPr>
            <w:r>
              <w:rPr>
                <w:rFonts w:ascii="Arbat" w:hAnsi="Arbat"/>
              </w:rPr>
              <w:t>спазмолитическое и</w:t>
            </w:r>
          </w:p>
          <w:p w:rsidR="00A1140D" w:rsidRDefault="003C7F05">
            <w:r>
              <w:rPr>
                <w:rFonts w:ascii="Arbat" w:hAnsi="Arbat"/>
              </w:rPr>
              <w:t>адсорбирующее</w:t>
            </w:r>
          </w:p>
        </w:tc>
        <w:tc>
          <w:tcPr>
            <w:tcW w:w="2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r>
              <w:t>Этакридин+таннина альбуминат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Таннакомп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Таблетки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лечение</w:t>
            </w:r>
            <w:r>
              <w:rPr>
                <w:b/>
                <w:lang w:val="en-US"/>
              </w:rPr>
              <w:t>:</w:t>
            </w:r>
            <w:r>
              <w:rPr>
                <w:b/>
              </w:rPr>
              <w:t>1т-4р/с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профилакт</w:t>
            </w:r>
            <w:r>
              <w:rPr>
                <w:b/>
                <w:lang w:val="en-US"/>
              </w:rPr>
              <w:t>:</w:t>
            </w:r>
            <w:r>
              <w:rPr>
                <w:b/>
              </w:rPr>
              <w:t xml:space="preserve"> 1т-2р/с</w:t>
            </w:r>
          </w:p>
        </w:tc>
      </w:tr>
      <w:tr w:rsidR="00A1140D">
        <w:tc>
          <w:tcPr>
            <w:tcW w:w="25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r>
              <w:rPr>
                <w:lang w:val="en-US"/>
              </w:rPr>
              <w:t xml:space="preserve">III. </w:t>
            </w:r>
            <w:r>
              <w:rPr>
                <w:rFonts w:ascii="Arbat" w:hAnsi="Arbat"/>
              </w:rPr>
              <w:t>Снижение тонуса и моторики ЖКТ</w:t>
            </w:r>
          </w:p>
        </w:tc>
        <w:tc>
          <w:tcPr>
            <w:tcW w:w="2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r>
              <w:t>Лоперамид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Иммодиум</w:t>
            </w: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Лоперамид</w:t>
            </w: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Лопедиум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Капсулы</w:t>
            </w: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Капсулы</w:t>
            </w: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Капсулы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О.Д.</w:t>
            </w:r>
            <w:r>
              <w:rPr>
                <w:b/>
                <w:lang w:val="en-US"/>
              </w:rPr>
              <w:t>:</w:t>
            </w:r>
            <w:r>
              <w:rPr>
                <w:b/>
              </w:rPr>
              <w:t>н.д. 2к , далее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п.к.ж.с. по 1к.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Х.Д.</w:t>
            </w:r>
            <w:r>
              <w:rPr>
                <w:b/>
                <w:lang w:val="en-US"/>
              </w:rPr>
              <w:t>: 2</w:t>
            </w:r>
            <w:r>
              <w:rPr>
                <w:b/>
              </w:rPr>
              <w:t>к ежедневно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м.с.д. 8к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О.Д.:н.д. 2к ,далее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п.к.ж.с. по 1к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Х.Д.: 2к ежедневно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м.с.д. 8к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О.Д.:н.д. 2к ,далее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п.к.ж.с. по 1к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Х.Д.: 2к ежедневно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м.с.д. 8к</w:t>
            </w:r>
          </w:p>
        </w:tc>
      </w:tr>
      <w:tr w:rsidR="00A1140D">
        <w:tc>
          <w:tcPr>
            <w:tcW w:w="25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r>
              <w:rPr>
                <w:lang w:val="en-US"/>
              </w:rPr>
              <w:t>IV.</w:t>
            </w:r>
            <w:r>
              <w:t xml:space="preserve"> </w:t>
            </w:r>
            <w:r>
              <w:rPr>
                <w:rFonts w:ascii="Arbat" w:hAnsi="Arbat"/>
              </w:rPr>
              <w:t>Биологического про</w:t>
            </w:r>
            <w:r>
              <w:rPr>
                <w:rFonts w:ascii="Arbat" w:hAnsi="Arbat"/>
              </w:rPr>
              <w:softHyphen/>
              <w:t>исхождения</w:t>
            </w:r>
          </w:p>
        </w:tc>
        <w:tc>
          <w:tcPr>
            <w:tcW w:w="2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r>
              <w:t>Леофилизированная</w:t>
            </w:r>
          </w:p>
          <w:p w:rsidR="00A1140D" w:rsidRDefault="003C7F05">
            <w:r>
              <w:rPr>
                <w:lang w:val="en-US"/>
              </w:rPr>
              <w:t>Saccaramyces boulardii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Энтерол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Капсулы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1капс - 1-2 р/с</w:t>
            </w:r>
          </w:p>
        </w:tc>
      </w:tr>
      <w:tr w:rsidR="00A1140D">
        <w:tc>
          <w:tcPr>
            <w:tcW w:w="25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r>
              <w:rPr>
                <w:lang w:val="en-US"/>
              </w:rPr>
              <w:t xml:space="preserve">V. </w:t>
            </w:r>
            <w:r>
              <w:rPr>
                <w:rFonts w:ascii="Arbat" w:hAnsi="Arbat"/>
              </w:rPr>
              <w:t>Адсорбенты для приема внутрь</w:t>
            </w:r>
          </w:p>
        </w:tc>
        <w:tc>
          <w:tcPr>
            <w:tcW w:w="2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r>
              <w:t>Монокомпонентные:</w:t>
            </w:r>
          </w:p>
          <w:p w:rsidR="00A1140D" w:rsidRDefault="00A1140D"/>
          <w:p w:rsidR="00A1140D" w:rsidRDefault="00A1140D"/>
          <w:p w:rsidR="00A1140D" w:rsidRDefault="00A1140D"/>
          <w:p w:rsidR="00A1140D" w:rsidRDefault="003C7F05">
            <w:r>
              <w:t>Комбинированные: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Активированный уголь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Поливидон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Энтеродез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Каопектат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Порошок</w:t>
            </w: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A1140D">
            <w:pPr>
              <w:rPr>
                <w:b/>
              </w:rPr>
            </w:pP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Таблетки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 xml:space="preserve">1ч.л. порошка на 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100мл кипячен. воды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1-3 р/с в теч. 2-7 дней</w:t>
            </w:r>
          </w:p>
          <w:p w:rsidR="00A1140D" w:rsidRDefault="00A1140D">
            <w:pPr>
              <w:rPr>
                <w:b/>
              </w:rPr>
            </w:pP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н.д.2т ,далее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п.к.ж.с. по 2т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м.с.д. 12т</w:t>
            </w:r>
          </w:p>
        </w:tc>
      </w:tr>
      <w:tr w:rsidR="00A1140D">
        <w:tc>
          <w:tcPr>
            <w:tcW w:w="25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r>
              <w:rPr>
                <w:lang w:val="en-US"/>
              </w:rPr>
              <w:t xml:space="preserve">VI. </w:t>
            </w:r>
            <w:r>
              <w:rPr>
                <w:rFonts w:ascii="Arbat" w:hAnsi="Arbat"/>
              </w:rPr>
              <w:t>Противомикробные местного действия</w:t>
            </w:r>
          </w:p>
        </w:tc>
        <w:tc>
          <w:tcPr>
            <w:tcW w:w="2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r>
              <w:t>Нифуроксазид</w:t>
            </w:r>
          </w:p>
          <w:p w:rsidR="00A1140D" w:rsidRDefault="00A1140D"/>
          <w:p w:rsidR="00A1140D" w:rsidRDefault="003C7F05">
            <w:r>
              <w:t>Тилихинол + тилихи</w:t>
            </w:r>
            <w:r>
              <w:softHyphen/>
              <w:t>нол Н-додецил</w:t>
            </w:r>
          </w:p>
          <w:p w:rsidR="00A1140D" w:rsidRDefault="003C7F05">
            <w:r>
              <w:t>сульфат + тилброхинол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Диастат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Эрсефурил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Интетрикс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Капсулы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Капсулы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Капсулы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1капс - 4 р/с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1капс - 4 р/с</w:t>
            </w:r>
          </w:p>
          <w:p w:rsidR="00A1140D" w:rsidRDefault="003C7F05">
            <w:pPr>
              <w:rPr>
                <w:b/>
              </w:rPr>
            </w:pPr>
            <w:r>
              <w:rPr>
                <w:b/>
              </w:rPr>
              <w:t>О.К.И.:2к 3р/с во время еды в теч.5-6дн</w:t>
            </w:r>
          </w:p>
        </w:tc>
      </w:tr>
    </w:tbl>
    <w:p w:rsidR="00A1140D" w:rsidRDefault="00A1140D"/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3119"/>
      </w:tblGrid>
      <w:tr w:rsidR="00A1140D">
        <w:tc>
          <w:tcPr>
            <w:tcW w:w="1384" w:type="dxa"/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Сокр.</w:t>
            </w:r>
          </w:p>
        </w:tc>
        <w:tc>
          <w:tcPr>
            <w:tcW w:w="3119" w:type="dxa"/>
          </w:tcPr>
          <w:p w:rsidR="00A1140D" w:rsidRDefault="003C7F05">
            <w:pPr>
              <w:rPr>
                <w:rFonts w:ascii="TimesET" w:hAnsi="TimesET"/>
                <w:i/>
              </w:rPr>
            </w:pPr>
            <w:r>
              <w:rPr>
                <w:rFonts w:ascii="TimesET" w:hAnsi="TimesET"/>
                <w:i/>
              </w:rPr>
              <w:t>Сокращения</w:t>
            </w:r>
          </w:p>
        </w:tc>
      </w:tr>
      <w:tr w:rsidR="00A1140D">
        <w:tc>
          <w:tcPr>
            <w:tcW w:w="1384" w:type="dxa"/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р.д.</w:t>
            </w:r>
          </w:p>
        </w:tc>
        <w:tc>
          <w:tcPr>
            <w:tcW w:w="3119" w:type="dxa"/>
          </w:tcPr>
          <w:p w:rsidR="00A1140D" w:rsidRDefault="003C7F05">
            <w:pPr>
              <w:rPr>
                <w:rFonts w:ascii="TimesET" w:hAnsi="TimesET"/>
                <w:i/>
              </w:rPr>
            </w:pPr>
            <w:r>
              <w:rPr>
                <w:rFonts w:ascii="TimesET" w:hAnsi="TimesET"/>
                <w:i/>
              </w:rPr>
              <w:t>разовая доза</w:t>
            </w:r>
          </w:p>
        </w:tc>
      </w:tr>
      <w:tr w:rsidR="00A1140D">
        <w:tc>
          <w:tcPr>
            <w:tcW w:w="1384" w:type="dxa"/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ст.л.</w:t>
            </w:r>
          </w:p>
        </w:tc>
        <w:tc>
          <w:tcPr>
            <w:tcW w:w="3119" w:type="dxa"/>
          </w:tcPr>
          <w:p w:rsidR="00A1140D" w:rsidRDefault="003C7F05">
            <w:pPr>
              <w:rPr>
                <w:rFonts w:ascii="TimesET" w:hAnsi="TimesET"/>
                <w:i/>
              </w:rPr>
            </w:pPr>
            <w:r>
              <w:rPr>
                <w:rFonts w:ascii="TimesET" w:hAnsi="TimesET"/>
                <w:i/>
              </w:rPr>
              <w:t>столовых ложек</w:t>
            </w:r>
          </w:p>
        </w:tc>
      </w:tr>
      <w:tr w:rsidR="00A1140D">
        <w:tc>
          <w:tcPr>
            <w:tcW w:w="1384" w:type="dxa"/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м.с.д.</w:t>
            </w:r>
          </w:p>
        </w:tc>
        <w:tc>
          <w:tcPr>
            <w:tcW w:w="3119" w:type="dxa"/>
          </w:tcPr>
          <w:p w:rsidR="00A1140D" w:rsidRDefault="003C7F05">
            <w:pPr>
              <w:rPr>
                <w:rFonts w:ascii="TimesET" w:hAnsi="TimesET"/>
                <w:i/>
              </w:rPr>
            </w:pPr>
            <w:r>
              <w:rPr>
                <w:rFonts w:ascii="TimesET" w:hAnsi="TimesET"/>
                <w:i/>
              </w:rPr>
              <w:t>максимальная суточная доза</w:t>
            </w:r>
          </w:p>
        </w:tc>
      </w:tr>
      <w:tr w:rsidR="00A1140D">
        <w:tc>
          <w:tcPr>
            <w:tcW w:w="1384" w:type="dxa"/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н.д.</w:t>
            </w:r>
          </w:p>
        </w:tc>
        <w:tc>
          <w:tcPr>
            <w:tcW w:w="3119" w:type="dxa"/>
          </w:tcPr>
          <w:p w:rsidR="00A1140D" w:rsidRDefault="003C7F05">
            <w:pPr>
              <w:rPr>
                <w:rFonts w:ascii="TimesET" w:hAnsi="TimesET"/>
                <w:i/>
              </w:rPr>
            </w:pPr>
            <w:r>
              <w:rPr>
                <w:rFonts w:ascii="TimesET" w:hAnsi="TimesET"/>
                <w:i/>
              </w:rPr>
              <w:t>начальная доза</w:t>
            </w:r>
          </w:p>
        </w:tc>
      </w:tr>
      <w:tr w:rsidR="00A1140D">
        <w:tc>
          <w:tcPr>
            <w:tcW w:w="1384" w:type="dxa"/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п.к.ж.с.</w:t>
            </w:r>
          </w:p>
        </w:tc>
        <w:tc>
          <w:tcPr>
            <w:tcW w:w="3119" w:type="dxa"/>
          </w:tcPr>
          <w:p w:rsidR="00A1140D" w:rsidRDefault="003C7F05">
            <w:pPr>
              <w:rPr>
                <w:rFonts w:ascii="TimesET" w:hAnsi="TimesET"/>
                <w:i/>
              </w:rPr>
            </w:pPr>
            <w:r>
              <w:rPr>
                <w:rFonts w:ascii="TimesET" w:hAnsi="TimesET"/>
                <w:i/>
              </w:rPr>
              <w:t>после каждого жидкого стула</w:t>
            </w:r>
          </w:p>
        </w:tc>
      </w:tr>
      <w:tr w:rsidR="00A1140D">
        <w:tc>
          <w:tcPr>
            <w:tcW w:w="1384" w:type="dxa"/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р/с</w:t>
            </w:r>
          </w:p>
        </w:tc>
        <w:tc>
          <w:tcPr>
            <w:tcW w:w="3119" w:type="dxa"/>
          </w:tcPr>
          <w:p w:rsidR="00A1140D" w:rsidRDefault="003C7F05">
            <w:pPr>
              <w:rPr>
                <w:rFonts w:ascii="TimesET" w:hAnsi="TimesET"/>
                <w:i/>
              </w:rPr>
            </w:pPr>
            <w:r>
              <w:rPr>
                <w:rFonts w:ascii="TimesET" w:hAnsi="TimesET"/>
                <w:i/>
              </w:rPr>
              <w:t>раз в сутки</w:t>
            </w:r>
          </w:p>
        </w:tc>
      </w:tr>
      <w:tr w:rsidR="00A1140D">
        <w:tc>
          <w:tcPr>
            <w:tcW w:w="1384" w:type="dxa"/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О.Д.</w:t>
            </w:r>
          </w:p>
        </w:tc>
        <w:tc>
          <w:tcPr>
            <w:tcW w:w="3119" w:type="dxa"/>
          </w:tcPr>
          <w:p w:rsidR="00A1140D" w:rsidRDefault="003C7F05">
            <w:pPr>
              <w:rPr>
                <w:rFonts w:ascii="TimesET" w:hAnsi="TimesET"/>
                <w:i/>
              </w:rPr>
            </w:pPr>
            <w:r>
              <w:rPr>
                <w:rFonts w:ascii="TimesET" w:hAnsi="TimesET"/>
                <w:i/>
              </w:rPr>
              <w:t>острая диарея</w:t>
            </w:r>
          </w:p>
        </w:tc>
      </w:tr>
      <w:tr w:rsidR="00A1140D">
        <w:tc>
          <w:tcPr>
            <w:tcW w:w="1384" w:type="dxa"/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Х.Д.</w:t>
            </w:r>
          </w:p>
        </w:tc>
        <w:tc>
          <w:tcPr>
            <w:tcW w:w="3119" w:type="dxa"/>
          </w:tcPr>
          <w:p w:rsidR="00A1140D" w:rsidRDefault="003C7F05">
            <w:pPr>
              <w:rPr>
                <w:rFonts w:ascii="TimesET" w:hAnsi="TimesET"/>
                <w:i/>
              </w:rPr>
            </w:pPr>
            <w:r>
              <w:rPr>
                <w:rFonts w:ascii="TimesET" w:hAnsi="TimesET"/>
                <w:i/>
              </w:rPr>
              <w:t>хроническая диарея</w:t>
            </w:r>
          </w:p>
        </w:tc>
      </w:tr>
      <w:tr w:rsidR="00A1140D">
        <w:tc>
          <w:tcPr>
            <w:tcW w:w="1384" w:type="dxa"/>
          </w:tcPr>
          <w:p w:rsidR="00A1140D" w:rsidRDefault="003C7F05">
            <w:pPr>
              <w:rPr>
                <w:b/>
              </w:rPr>
            </w:pPr>
            <w:r>
              <w:rPr>
                <w:b/>
              </w:rPr>
              <w:t>О.К.И.</w:t>
            </w:r>
          </w:p>
        </w:tc>
        <w:tc>
          <w:tcPr>
            <w:tcW w:w="3119" w:type="dxa"/>
          </w:tcPr>
          <w:p w:rsidR="00A1140D" w:rsidRDefault="003C7F05">
            <w:pPr>
              <w:rPr>
                <w:rFonts w:ascii="TimesET" w:hAnsi="TimesET"/>
                <w:i/>
              </w:rPr>
            </w:pPr>
            <w:r>
              <w:rPr>
                <w:rFonts w:ascii="TimesET" w:hAnsi="TimesET"/>
                <w:i/>
              </w:rPr>
              <w:t>острые кишечные инфекции</w:t>
            </w:r>
          </w:p>
        </w:tc>
      </w:tr>
    </w:tbl>
    <w:p w:rsidR="00A1140D" w:rsidRDefault="00A1140D"/>
    <w:p w:rsidR="00A1140D" w:rsidRDefault="00A1140D"/>
    <w:p w:rsidR="00A1140D" w:rsidRDefault="003C7F05">
      <w:r>
        <w:t>Таблицу выполнил студент 18гр. леч. фак 5 курс</w:t>
      </w:r>
    </w:p>
    <w:p w:rsidR="00A1140D" w:rsidRDefault="003C7F05">
      <w:r>
        <w:t xml:space="preserve">Овчинников Р.Ю. </w:t>
      </w:r>
      <w:r>
        <w:rPr>
          <w:lang w:val="en-US"/>
        </w:rPr>
        <w:t>Modiefiziren nach Ruslan (</w:t>
      </w:r>
      <w:r>
        <w:t>2</w:t>
      </w:r>
      <w:r>
        <w:rPr>
          <w:lang w:val="en-US"/>
        </w:rPr>
        <w:t xml:space="preserve"> error`</w:t>
      </w:r>
      <w:r>
        <w:t>ы исправлены).</w:t>
      </w:r>
      <w:bookmarkStart w:id="0" w:name="_GoBack"/>
      <w:bookmarkEnd w:id="0"/>
    </w:p>
    <w:sectPr w:rsidR="00A1140D">
      <w:pgSz w:w="11906" w:h="16838"/>
      <w:pgMar w:top="1440" w:right="1800" w:bottom="1440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zhits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ba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897B12"/>
    <w:multiLevelType w:val="singleLevel"/>
    <w:tmpl w:val="758E35E8"/>
    <w:lvl w:ilvl="0">
      <w:start w:val="2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autoHyphenation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7F05"/>
    <w:rsid w:val="00050073"/>
    <w:rsid w:val="003C7F05"/>
    <w:rsid w:val="00A11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634274-877C-4A9E-9EF7-E3C59F12B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                                           Противодиарейные средства</vt:lpstr>
      </vt:variant>
      <vt:variant>
        <vt:i4>0</vt:i4>
      </vt:variant>
    </vt:vector>
  </HeadingPairs>
  <TitlesOfParts>
    <vt:vector size="1" baseType="lpstr">
      <vt:lpstr>                                           Противодиарейные средства</vt:lpstr>
    </vt:vector>
  </TitlesOfParts>
  <Company>НГМИ</Company>
  <LinksUpToDate>false</LinksUpToDate>
  <CharactersWithSpaces>1838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Противодиарейные средства</dc:title>
  <dc:subject/>
  <dc:creator>Руслан А. Чириков</dc:creator>
  <cp:keywords/>
  <dc:description>Для контактов и тесного делового сотрудничества:_x000d_
hawk@online.nsk.su_x000d_
Хирургия во всех ее ипостасях_x000d_
Кардиология</dc:description>
  <cp:lastModifiedBy>Irina</cp:lastModifiedBy>
  <cp:revision>2</cp:revision>
  <cp:lastPrinted>1998-05-26T17:21:00Z</cp:lastPrinted>
  <dcterms:created xsi:type="dcterms:W3CDTF">2014-09-07T12:34:00Z</dcterms:created>
  <dcterms:modified xsi:type="dcterms:W3CDTF">2014-09-07T12:34:00Z</dcterms:modified>
</cp:coreProperties>
</file>