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781E" w:rsidRDefault="0084781E">
      <w:pPr>
        <w:jc w:val="center"/>
        <w:rPr>
          <w:rFonts w:ascii="Arial" w:hAnsi="Arial"/>
          <w:lang w:val="en-US"/>
        </w:rPr>
      </w:pPr>
    </w:p>
    <w:p w:rsidR="0084781E" w:rsidRDefault="0084781E">
      <w:pPr>
        <w:rPr>
          <w:rFonts w:ascii="Arial" w:hAnsi="Arial"/>
          <w:lang w:val="en-US"/>
        </w:rPr>
      </w:pP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>ТЕМА: ХРОНИЧЕСКИЕ НЕСПЕЦИФИЧЕСКИЕ ЗАБОЛЕВАНИЯ ЛЕГКИХ.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К данной патологии относится: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хронический обструктивный бронхит ( ХОБ)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эмфизема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бронхиальная астма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муковисцидоз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бронхоэктатическая болезнь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облитерирующий бронхиолит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биссиноз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В России термин хронические неспецифические заболевания легких (ХНЗЛ) равен термину хронические обструктивные заболевания легких (ХОЗЛ). Ведущим, определяющим тяжесть и прогноз заболевания является бронхообструктивный синдром. 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 Хронический обструктивный бронхит и эмфизема объединены в единую нозологическую форму - хроническая обструктивная болезнь легких. Подчеркивается вовлечение в патологический процесс не только бронхов (хронический обструктивный бронхит), но и респираторного отдела легких, необратимые изменения в котором (эмфизема) в наибольшей степени определяют прогрессирующую инвалидизацию и прогноз.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 ХОБЛ заболевания , характеризующиеся хроническим диффузным неаллергическим воспалением бронхов, ведущее к прогрессирующему нарушению легочной вентиляции и газообмену по обструктивному типу и проявляющееся кашлем, одышкой и выделением мокроты не связанными с поражением других органов и систем.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Механизмы обструкции дыхательных путей у больных ХОБЛ.</w:t>
      </w:r>
    </w:p>
    <w:p w:rsidR="0084781E" w:rsidRDefault="00CB29C4">
      <w:pPr>
        <w:numPr>
          <w:ilvl w:val="0"/>
          <w:numId w:val="2"/>
        </w:numPr>
        <w:rPr>
          <w:rFonts w:ascii="Arial" w:hAnsi="Arial"/>
        </w:rPr>
      </w:pPr>
      <w:r>
        <w:rPr>
          <w:rFonts w:ascii="Arial" w:hAnsi="Arial"/>
        </w:rPr>
        <w:t>Частично обратимые, не склонные к значительному прогрессированию</w:t>
      </w:r>
    </w:p>
    <w:p w:rsidR="0084781E" w:rsidRDefault="00CB29C4">
      <w:pPr>
        <w:numPr>
          <w:ilvl w:val="0"/>
          <w:numId w:val="3"/>
        </w:numPr>
        <w:rPr>
          <w:rFonts w:ascii="Arial" w:hAnsi="Arial"/>
        </w:rPr>
      </w:pPr>
      <w:r>
        <w:rPr>
          <w:rFonts w:ascii="Arial" w:hAnsi="Arial"/>
        </w:rPr>
        <w:t>отек слизистой</w:t>
      </w:r>
    </w:p>
    <w:p w:rsidR="0084781E" w:rsidRDefault="00CB29C4">
      <w:pPr>
        <w:numPr>
          <w:ilvl w:val="0"/>
          <w:numId w:val="3"/>
        </w:numPr>
        <w:rPr>
          <w:rFonts w:ascii="Arial" w:hAnsi="Arial"/>
        </w:rPr>
      </w:pPr>
      <w:r>
        <w:rPr>
          <w:rFonts w:ascii="Arial" w:hAnsi="Arial"/>
        </w:rPr>
        <w:t>обтурация просвета бронхов вязким секретом (дискриния)</w:t>
      </w:r>
    </w:p>
    <w:p w:rsidR="0084781E" w:rsidRDefault="00CB29C4">
      <w:pPr>
        <w:numPr>
          <w:ilvl w:val="0"/>
          <w:numId w:val="3"/>
        </w:numPr>
        <w:rPr>
          <w:rFonts w:ascii="Arial" w:hAnsi="Arial"/>
        </w:rPr>
      </w:pPr>
      <w:r>
        <w:rPr>
          <w:rFonts w:ascii="Arial" w:hAnsi="Arial"/>
        </w:rPr>
        <w:t>гипертрофия слизистых желез (гиперкриния)</w:t>
      </w:r>
    </w:p>
    <w:p w:rsidR="0084781E" w:rsidRDefault="00CB29C4">
      <w:pPr>
        <w:numPr>
          <w:ilvl w:val="0"/>
          <w:numId w:val="3"/>
        </w:numPr>
        <w:rPr>
          <w:rFonts w:ascii="Arial" w:hAnsi="Arial"/>
        </w:rPr>
      </w:pPr>
      <w:r>
        <w:rPr>
          <w:rFonts w:ascii="Arial" w:hAnsi="Arial"/>
        </w:rPr>
        <w:t xml:space="preserve"> гипертонус бронхиальной мускулатуры</w:t>
      </w:r>
    </w:p>
    <w:p w:rsidR="0084781E" w:rsidRDefault="00CB29C4">
      <w:pPr>
        <w:numPr>
          <w:ilvl w:val="0"/>
          <w:numId w:val="4"/>
        </w:numPr>
        <w:rPr>
          <w:rFonts w:ascii="Arial" w:hAnsi="Arial"/>
        </w:rPr>
      </w:pPr>
      <w:r>
        <w:rPr>
          <w:rFonts w:ascii="Arial" w:hAnsi="Arial"/>
        </w:rPr>
        <w:t>Необратимые, прогрессирующие. Связаны с поражением респираторного отдела легких, то есть собственно эмфизема. Именно эмфизема определяет тяжесть и прогноз заболевания. Эмфизема - не осложнение или сопутствующее заболевания при ХОБ, а закономерный и существеннейший элемент ХОБЛ, в большинстве случаев, определяющий инвалидизацию или летальный исход. Эмфизема в большей степени выражена в верхних отделах. Главной причиной ее возникновения является преобладание в легочной ткани протеазной ферментативной активности (эластаза) над антипротеазной (альфа1-антитрипсин). В результате вышеуказанного механизма развивается деструкция межальвеолярных перегородок, то есть собственно эмфизема. Источники избытка протеаз:</w:t>
      </w:r>
    </w:p>
    <w:p w:rsidR="0084781E" w:rsidRDefault="00CB29C4">
      <w:pPr>
        <w:numPr>
          <w:ilvl w:val="0"/>
          <w:numId w:val="1"/>
        </w:numPr>
        <w:ind w:left="571"/>
        <w:rPr>
          <w:rFonts w:ascii="Arial" w:hAnsi="Arial"/>
        </w:rPr>
      </w:pPr>
      <w:r>
        <w:rPr>
          <w:rFonts w:ascii="Arial" w:hAnsi="Arial"/>
        </w:rPr>
        <w:t>альвеолярные макрофаги, которые активируются экзогенными факторами</w:t>
      </w:r>
    </w:p>
    <w:p w:rsidR="0084781E" w:rsidRDefault="00CB29C4">
      <w:pPr>
        <w:numPr>
          <w:ilvl w:val="0"/>
          <w:numId w:val="1"/>
        </w:numPr>
        <w:ind w:left="571"/>
        <w:rPr>
          <w:rFonts w:ascii="Arial" w:hAnsi="Arial"/>
        </w:rPr>
      </w:pPr>
      <w:r>
        <w:rPr>
          <w:rFonts w:ascii="Arial" w:hAnsi="Arial"/>
        </w:rPr>
        <w:t>расспадающиеся нейтрофилы, что является следствием бактериальной инфекции</w:t>
      </w:r>
    </w:p>
    <w:p w:rsidR="0084781E" w:rsidRDefault="00CB29C4">
      <w:pPr>
        <w:numPr>
          <w:ilvl w:val="0"/>
          <w:numId w:val="1"/>
        </w:numPr>
        <w:ind w:left="571"/>
        <w:rPr>
          <w:rFonts w:ascii="Arial" w:hAnsi="Arial"/>
        </w:rPr>
      </w:pPr>
      <w:r>
        <w:rPr>
          <w:rFonts w:ascii="Arial" w:hAnsi="Arial"/>
        </w:rPr>
        <w:t>низкая антипротеазная активность, которая является отражением генетической предрасположенности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>Критерии  оценки тяжести заболевания ХОБЛ согласно Европейскому Респираторному союзу: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10"/>
        <w:gridCol w:w="5210"/>
      </w:tblGrid>
      <w:tr w:rsidR="0084781E">
        <w:tc>
          <w:tcPr>
            <w:tcW w:w="5210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Тяжесть заболевания</w:t>
            </w:r>
          </w:p>
        </w:tc>
        <w:tc>
          <w:tcPr>
            <w:tcW w:w="5210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ОФВ (объем форсированного выдоха) указывается процент от должных величин</w:t>
            </w:r>
          </w:p>
        </w:tc>
      </w:tr>
      <w:tr w:rsidR="0084781E">
        <w:tc>
          <w:tcPr>
            <w:tcW w:w="5210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легкая</w:t>
            </w:r>
          </w:p>
        </w:tc>
        <w:tc>
          <w:tcPr>
            <w:tcW w:w="5210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меньше или равна 70</w:t>
            </w:r>
          </w:p>
        </w:tc>
      </w:tr>
      <w:tr w:rsidR="0084781E">
        <w:tc>
          <w:tcPr>
            <w:tcW w:w="5210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средняя</w:t>
            </w:r>
          </w:p>
        </w:tc>
        <w:tc>
          <w:tcPr>
            <w:tcW w:w="5210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50-69</w:t>
            </w:r>
          </w:p>
        </w:tc>
      </w:tr>
      <w:tr w:rsidR="0084781E">
        <w:tc>
          <w:tcPr>
            <w:tcW w:w="5210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тяжелая</w:t>
            </w:r>
          </w:p>
        </w:tc>
        <w:tc>
          <w:tcPr>
            <w:tcW w:w="5210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менее 50</w:t>
            </w:r>
          </w:p>
        </w:tc>
      </w:tr>
    </w:tbl>
    <w:p w:rsidR="0084781E" w:rsidRDefault="0084781E">
      <w:pPr>
        <w:rPr>
          <w:rFonts w:ascii="Arial" w:hAnsi="Arial"/>
        </w:rPr>
      </w:pP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>Стадии ХОБЛ согласно классификация Американского торакального общества.</w:t>
      </w:r>
    </w:p>
    <w:p w:rsidR="0084781E" w:rsidRDefault="00CB29C4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ОФВ менее 50%. Незначительное воздействие на качество жизни. Редкие наблюдения врачом общей практики.</w:t>
      </w:r>
    </w:p>
    <w:p w:rsidR="0084781E" w:rsidRDefault="00CB29C4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ОФВ - 35-49%. Страдает качество жизни. Наблюдение у врача пульмонолога.</w:t>
      </w:r>
    </w:p>
    <w:p w:rsidR="0084781E" w:rsidRDefault="00CB29C4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ОФВ менее 34%. Резко снижается качество жизни.</w:t>
      </w:r>
    </w:p>
    <w:p w:rsidR="0084781E" w:rsidRDefault="0084781E">
      <w:pPr>
        <w:rPr>
          <w:rFonts w:ascii="Arial" w:hAnsi="Arial"/>
        </w:rPr>
      </w:pP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Качество жизни - интегральный показатель, определяющий адаптацию больного к наличию болезни и возможности выполнения привычных для больного функций, связанных с его социально-экономическим положением на работе и в быту.</w:t>
      </w:r>
    </w:p>
    <w:p w:rsidR="0084781E" w:rsidRDefault="0084781E">
      <w:pPr>
        <w:rPr>
          <w:rFonts w:ascii="Arial" w:hAnsi="Arial"/>
        </w:rPr>
      </w:pP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Факторы риска развития ХОБЛ.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73"/>
        <w:gridCol w:w="3473"/>
        <w:gridCol w:w="3473"/>
      </w:tblGrid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Вероятно значение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факторы внешней среды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внутренние факторы</w:t>
            </w:r>
          </w:p>
        </w:tc>
      </w:tr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установленные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курение, большое количество пыли и газа в воздухе, профессиональный вредности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дефицит альфа-1-антитрипсина</w:t>
            </w:r>
          </w:p>
        </w:tc>
      </w:tr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высокая вероятность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неблагополучие окружающей среды (</w:t>
            </w:r>
            <w:r>
              <w:rPr>
                <w:rFonts w:ascii="Arial" w:hAnsi="Arial"/>
                <w:lang w:val="en-US"/>
              </w:rPr>
              <w:t>SO</w:t>
            </w:r>
            <w:r>
              <w:rPr>
                <w:rFonts w:ascii="Arial" w:hAnsi="Arial"/>
                <w:vertAlign w:val="subscript"/>
                <w:lang w:val="en-US"/>
              </w:rPr>
              <w:t>2</w:t>
            </w:r>
            <w:r>
              <w:rPr>
                <w:rFonts w:ascii="Arial" w:hAnsi="Arial"/>
                <w:lang w:val="en-US"/>
              </w:rPr>
              <w:t>)</w:t>
            </w:r>
            <w:r>
              <w:rPr>
                <w:rFonts w:ascii="Arial" w:hAnsi="Arial"/>
              </w:rPr>
              <w:t>, низкое социально-экономическое положение, алкоголь, пассивное курение.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Семейный характер заболевания, малый вес при рождении</w:t>
            </w:r>
          </w:p>
        </w:tc>
      </w:tr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возможная вероятность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аденовирусная инфекция, дефицит витамина С,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генетическая предрасположенность, первая группа крови, отсутствие </w:t>
            </w:r>
            <w:r>
              <w:rPr>
                <w:rFonts w:ascii="Arial" w:hAnsi="Arial"/>
                <w:lang w:val="en-US"/>
              </w:rPr>
              <w:t>IgA</w:t>
            </w:r>
            <w:r>
              <w:rPr>
                <w:rFonts w:ascii="Arial" w:hAnsi="Arial"/>
              </w:rPr>
              <w:t>.</w:t>
            </w:r>
          </w:p>
        </w:tc>
      </w:tr>
    </w:tbl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Дифференциально-диагностические критерии ХОБЛ и бронхиальной астмы.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73"/>
        <w:gridCol w:w="3473"/>
        <w:gridCol w:w="3473"/>
      </w:tblGrid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Признаки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ХОБЛ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бронхиальная астма</w:t>
            </w:r>
          </w:p>
        </w:tc>
      </w:tr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аллергия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не характерна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характерна</w:t>
            </w:r>
          </w:p>
        </w:tc>
      </w:tr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кашель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постоянный, различной интенсивности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приступообразный</w:t>
            </w:r>
          </w:p>
        </w:tc>
      </w:tr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одышка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постоянная, без резких колебаний выраженности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приступы экспираторной одышки</w:t>
            </w:r>
          </w:p>
        </w:tc>
      </w:tr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суточные изменения ОФВ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менее 10% от должного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более 15% от должного</w:t>
            </w:r>
          </w:p>
        </w:tc>
      </w:tr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бронхиальная обструкция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обратимость не характерна, прогрессивное снижение функции легких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обратимость характерна, прогрессивного снижения функции легких нет</w:t>
            </w:r>
          </w:p>
        </w:tc>
      </w:tr>
      <w:tr w:rsidR="0084781E"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эозинофилия крови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не характерна</w:t>
            </w:r>
          </w:p>
        </w:tc>
        <w:tc>
          <w:tcPr>
            <w:tcW w:w="3473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характерна</w:t>
            </w:r>
          </w:p>
        </w:tc>
      </w:tr>
    </w:tbl>
    <w:p w:rsidR="0084781E" w:rsidRDefault="0084781E">
      <w:pPr>
        <w:rPr>
          <w:rFonts w:ascii="Arial" w:hAnsi="Arial"/>
        </w:rPr>
      </w:pP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Лечение.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>ТЕРАПЕВТИЧЕСКИЙ АЛГОРИТМ ЛЕЧЕНИЯ ХОЗЛ.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7335"/>
      </w:tblGrid>
      <w:tr w:rsidR="0084781E">
        <w:tc>
          <w:tcPr>
            <w:tcW w:w="3085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1 -я ступень (базовая)</w:t>
            </w:r>
          </w:p>
        </w:tc>
        <w:tc>
          <w:tcPr>
            <w:tcW w:w="7335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атровент (ипритропиум бромид) по 3-6 вдохов 4 раза в день</w:t>
            </w:r>
          </w:p>
        </w:tc>
      </w:tr>
      <w:tr w:rsidR="0084781E">
        <w:tc>
          <w:tcPr>
            <w:tcW w:w="3085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2-я ступень</w:t>
            </w:r>
          </w:p>
        </w:tc>
        <w:tc>
          <w:tcPr>
            <w:tcW w:w="7335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атровент - 2-6 вдохов каждые 3-6 часов + беротек (В</w:t>
            </w:r>
            <w:r>
              <w:rPr>
                <w:rFonts w:ascii="Arial" w:hAnsi="Arial"/>
                <w:vertAlign w:val="subscript"/>
              </w:rPr>
              <w:t>2</w:t>
            </w:r>
            <w:r>
              <w:rPr>
                <w:rFonts w:ascii="Arial" w:hAnsi="Arial"/>
              </w:rPr>
              <w:t>-агонист (беродуал)</w:t>
            </w:r>
          </w:p>
        </w:tc>
      </w:tr>
      <w:tr w:rsidR="0084781E">
        <w:tc>
          <w:tcPr>
            <w:tcW w:w="3085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3-я ступень</w:t>
            </w:r>
          </w:p>
        </w:tc>
        <w:tc>
          <w:tcPr>
            <w:tcW w:w="7335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атровент + беротек +теофиллин (300 -900 мг/сут) (беродуал)</w:t>
            </w:r>
          </w:p>
        </w:tc>
      </w:tr>
      <w:tr w:rsidR="0084781E">
        <w:tc>
          <w:tcPr>
            <w:tcW w:w="3085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4-я ступень</w:t>
            </w:r>
          </w:p>
        </w:tc>
        <w:tc>
          <w:tcPr>
            <w:tcW w:w="7335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атровент + беротек (беродуал) + теофиллин + кортикостероиды (преднизолон 30-40 мг/сут - 14 дней, с последующим снижением до 0-10 мг/сут или через день)</w:t>
            </w:r>
          </w:p>
        </w:tc>
      </w:tr>
    </w:tbl>
    <w:p w:rsidR="0084781E" w:rsidRDefault="0084781E">
      <w:pPr>
        <w:rPr>
          <w:rFonts w:ascii="Arial" w:hAnsi="Arial"/>
        </w:rPr>
      </w:pP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Дадим краткую характеристику атровенту: антихолинэргический бронходилататор. Безопасен для всех возрастных групп, если его применять в соответствии с рекомендациями. Не вызывает системных побочных эффектов. Не оказывает не благоприятного влияния на объем и вязкость мокроты, на мукоцилиарный клиренс. При введении в форме ингаляций начинает действовать через 5-15 минут, максимальное действие проявляется через 1-2 часа, затем сохраняется еще 2 часа.</w:t>
      </w:r>
    </w:p>
    <w:p w:rsidR="0084781E" w:rsidRDefault="0084781E">
      <w:pPr>
        <w:rPr>
          <w:rFonts w:ascii="Arial" w:hAnsi="Arial"/>
        </w:rPr>
      </w:pP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Лечение инфекции: известно, что при лечении ХОБЛ в периоды обострений эффективны антибиотики, кроме того у больных ХОБЛ следует ежегодно вакцинировать против гриппа. Необходимо также иммунизация против пневмококковой инфекции. Однако в России организованная иммунизация не проводится.</w:t>
      </w:r>
    </w:p>
    <w:p w:rsidR="0084781E" w:rsidRDefault="0084781E">
      <w:pPr>
        <w:rPr>
          <w:rFonts w:ascii="Arial" w:hAnsi="Arial"/>
        </w:rPr>
      </w:pP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 Осложнения ХОБЛ: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легочное сердце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полицитемия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инфекции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респираторная недостаточность</w:t>
      </w:r>
    </w:p>
    <w:p w:rsidR="0084781E" w:rsidRDefault="00CB29C4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бронхогенная карцинома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У больных ХОБЛ особого внимания требует пневмонии, вследствие их тяжести и потенцирования дыхательной недостаточности.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 </w:t>
      </w:r>
    </w:p>
    <w:p w:rsidR="0084781E" w:rsidRDefault="00CB29C4">
      <w:pPr>
        <w:rPr>
          <w:rFonts w:ascii="Arial" w:hAnsi="Arial"/>
        </w:rPr>
      </w:pPr>
      <w:r>
        <w:rPr>
          <w:rFonts w:ascii="Arial" w:hAnsi="Arial"/>
        </w:rPr>
        <w:t xml:space="preserve"> Оценка дыхательной недостаточности.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2084"/>
        <w:gridCol w:w="2084"/>
        <w:gridCol w:w="2084"/>
      </w:tblGrid>
      <w:tr w:rsidR="0084781E"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Показатели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Норма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 стадия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 стадия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 стадия</w:t>
            </w:r>
          </w:p>
        </w:tc>
      </w:tr>
      <w:tr w:rsidR="0084781E"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ЖЕЛ, % от должного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90-85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84-70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65-50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менее 50</w:t>
            </w:r>
          </w:p>
        </w:tc>
      </w:tr>
      <w:tr w:rsidR="0084781E"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МВЛ, % от должного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85-75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75-55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54-35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менее 35</w:t>
            </w:r>
          </w:p>
        </w:tc>
      </w:tr>
      <w:tr w:rsidR="0084781E"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ОВФ, %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85-75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75-55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54-35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менее 35</w:t>
            </w:r>
          </w:p>
        </w:tc>
      </w:tr>
      <w:tr w:rsidR="0084781E"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ОВФ /ЖЕЛ, % (проба Тиффно)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65-60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59-50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49-40</w:t>
            </w:r>
          </w:p>
        </w:tc>
        <w:tc>
          <w:tcPr>
            <w:tcW w:w="2084" w:type="dxa"/>
          </w:tcPr>
          <w:p w:rsidR="0084781E" w:rsidRDefault="00CB29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менее 40</w:t>
            </w:r>
          </w:p>
        </w:tc>
      </w:tr>
    </w:tbl>
    <w:p w:rsidR="0084781E" w:rsidRDefault="0084781E">
      <w:pPr>
        <w:rPr>
          <w:rFonts w:ascii="Arial" w:hAnsi="Arial"/>
        </w:rPr>
      </w:pPr>
      <w:bookmarkStart w:id="0" w:name="_GoBack"/>
      <w:bookmarkEnd w:id="0"/>
    </w:p>
    <w:sectPr w:rsidR="0084781E">
      <w:pgSz w:w="11907" w:h="16840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40D4367A"/>
    <w:multiLevelType w:val="singleLevel"/>
    <w:tmpl w:val="D3C841CE"/>
    <w:lvl w:ilvl="0">
      <w:start w:val="1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2">
    <w:nsid w:val="6F515357"/>
    <w:multiLevelType w:val="singleLevel"/>
    <w:tmpl w:val="E2847AF0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3">
    <w:nsid w:val="778C02CC"/>
    <w:multiLevelType w:val="singleLevel"/>
    <w:tmpl w:val="0024BC46"/>
    <w:lvl w:ilvl="0">
      <w:start w:val="2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4">
    <w:nsid w:val="7835662F"/>
    <w:multiLevelType w:val="singleLevel"/>
    <w:tmpl w:val="D3C841CE"/>
    <w:lvl w:ilvl="0">
      <w:start w:val="1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03" w:hanging="283"/>
        </w:pPr>
        <w:rPr>
          <w:rFonts w:ascii="Symbol" w:hAnsi="Symbol" w:hint="default"/>
          <w:b w:val="0"/>
          <w:i w:val="0"/>
          <w:sz w:val="20"/>
          <w:u w:val="none"/>
        </w:rPr>
      </w:lvl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29C4"/>
    <w:rsid w:val="000E00FC"/>
    <w:rsid w:val="0084781E"/>
    <w:rsid w:val="00CB2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0CA3CC-7B46-4C37-985E-C0BE6918E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881</Words>
  <Characters>5026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ТЕМА: ХРОНИЧЕСКИЕ НЕСПЕЦИФИЧЕСКИЕ ЗАБОЛЕВАНИЯ ЛЕГКИХ</vt:lpstr>
      </vt:variant>
      <vt:variant>
        <vt:i4>0</vt:i4>
      </vt:variant>
    </vt:vector>
  </HeadingPairs>
  <TitlesOfParts>
    <vt:vector size="1" baseType="lpstr">
      <vt:lpstr>ТЕМА: ХРОНИЧЕСКИЕ НЕСПЕЦИФИЧЕСКИЕ ЗАБОЛЕВАНИЯ ЛЕГКИХ</vt:lpstr>
    </vt:vector>
  </TitlesOfParts>
  <Company>Elcom Ltd</Company>
  <LinksUpToDate>false</LinksUpToDate>
  <CharactersWithSpaces>5896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ТЕМА: ХРОНИЧЕСКИЕ НЕСПЕЦИФИЧЕСКИЕ ЗАБОЛЕВАНИЯ ЛЕГКИХ</dc:title>
  <dc:subject/>
  <dc:creator>Дмитрий Красножон</dc:creator>
  <cp:keywords/>
  <dc:description/>
  <cp:lastModifiedBy>Irina</cp:lastModifiedBy>
  <cp:revision>2</cp:revision>
  <cp:lastPrinted>1899-12-31T21:00:00Z</cp:lastPrinted>
  <dcterms:created xsi:type="dcterms:W3CDTF">2014-09-07T12:30:00Z</dcterms:created>
  <dcterms:modified xsi:type="dcterms:W3CDTF">2014-09-07T12:30:00Z</dcterms:modified>
</cp:coreProperties>
</file>