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DAF" w:rsidRDefault="005D3C96">
      <w:pPr>
        <w:pStyle w:val="a8"/>
        <w:spacing w:line="360" w:lineRule="auto"/>
        <w:jc w:val="center"/>
        <w:rPr>
          <w:rFonts w:ascii="Times New Roman" w:hAnsi="Times New Roman"/>
          <w:b/>
          <w:sz w:val="24"/>
        </w:rPr>
      </w:pPr>
      <w:r>
        <w:rPr>
          <w:rFonts w:ascii="Times New Roman" w:hAnsi="Times New Roman"/>
          <w:b/>
          <w:sz w:val="24"/>
        </w:rPr>
        <w:t>МИНИСТЕРСТВО ОБРАЗОВАНИЯ УКРАИНЫ</w:t>
      </w:r>
    </w:p>
    <w:p w:rsidR="00626DAF" w:rsidRDefault="005D3C96">
      <w:pPr>
        <w:pStyle w:val="a8"/>
        <w:spacing w:line="360" w:lineRule="auto"/>
        <w:jc w:val="center"/>
        <w:rPr>
          <w:rFonts w:ascii="Times New Roman" w:hAnsi="Times New Roman"/>
          <w:b/>
          <w:sz w:val="24"/>
        </w:rPr>
      </w:pPr>
      <w:r>
        <w:rPr>
          <w:rFonts w:ascii="Times New Roman" w:hAnsi="Times New Roman"/>
          <w:b/>
          <w:sz w:val="24"/>
        </w:rPr>
        <w:t>СЕВАСТОПОЛЬСКИЙ ГОСУДАРСТВЕННЫЙ ТЕХНИЧЕСКИЙ УНИВЕРСИТЕТ</w:t>
      </w:r>
    </w:p>
    <w:p w:rsidR="00626DAF" w:rsidRDefault="00626DAF">
      <w:pPr>
        <w:pStyle w:val="a8"/>
        <w:jc w:val="center"/>
        <w:rPr>
          <w:rFonts w:ascii="Times New Roman" w:hAnsi="Times New Roman"/>
          <w:sz w:val="24"/>
        </w:rPr>
      </w:pPr>
    </w:p>
    <w:p w:rsidR="00626DAF" w:rsidRDefault="00626DAF">
      <w:pPr>
        <w:pStyle w:val="a8"/>
        <w:rPr>
          <w:rFonts w:ascii="Times New Roman" w:hAnsi="Times New Roman"/>
          <w:sz w:val="24"/>
        </w:rPr>
      </w:pPr>
    </w:p>
    <w:p w:rsidR="00626DAF" w:rsidRDefault="00626DAF">
      <w:pPr>
        <w:pStyle w:val="a8"/>
        <w:rPr>
          <w:rFonts w:ascii="Times New Roman" w:hAnsi="Times New Roman"/>
          <w:sz w:val="24"/>
        </w:rPr>
      </w:pPr>
    </w:p>
    <w:p w:rsidR="00626DAF" w:rsidRDefault="00626DAF">
      <w:pPr>
        <w:pStyle w:val="a8"/>
        <w:rPr>
          <w:rFonts w:ascii="Times New Roman" w:hAnsi="Times New Roman"/>
          <w:sz w:val="24"/>
        </w:rPr>
      </w:pPr>
    </w:p>
    <w:p w:rsidR="00626DAF" w:rsidRDefault="00626DAF">
      <w:pPr>
        <w:pStyle w:val="a8"/>
        <w:rPr>
          <w:rFonts w:ascii="Times New Roman" w:hAnsi="Times New Roman"/>
          <w:sz w:val="24"/>
        </w:rPr>
      </w:pPr>
    </w:p>
    <w:p w:rsidR="00626DAF" w:rsidRDefault="00626DAF">
      <w:pPr>
        <w:pStyle w:val="a8"/>
        <w:rPr>
          <w:rFonts w:ascii="Times New Roman" w:hAnsi="Times New Roman"/>
          <w:sz w:val="24"/>
        </w:rPr>
      </w:pPr>
    </w:p>
    <w:p w:rsidR="00626DAF" w:rsidRDefault="00626DAF">
      <w:pPr>
        <w:pStyle w:val="a8"/>
        <w:rPr>
          <w:rFonts w:ascii="Times New Roman" w:hAnsi="Times New Roman"/>
          <w:sz w:val="24"/>
        </w:rPr>
      </w:pPr>
    </w:p>
    <w:p w:rsidR="00626DAF" w:rsidRDefault="00626DAF">
      <w:pPr>
        <w:pStyle w:val="a8"/>
        <w:rPr>
          <w:rFonts w:ascii="Times New Roman" w:hAnsi="Times New Roman"/>
          <w:sz w:val="24"/>
        </w:rPr>
      </w:pPr>
    </w:p>
    <w:p w:rsidR="00626DAF" w:rsidRDefault="005D3C96">
      <w:pPr>
        <w:pStyle w:val="a8"/>
        <w:jc w:val="center"/>
        <w:rPr>
          <w:rFonts w:ascii="Times New Roman" w:hAnsi="Times New Roman"/>
          <w:b/>
          <w:shadow/>
          <w:spacing w:val="20"/>
          <w:sz w:val="32"/>
        </w:rPr>
      </w:pPr>
      <w:r>
        <w:rPr>
          <w:rFonts w:ascii="Times New Roman" w:hAnsi="Times New Roman"/>
          <w:b/>
          <w:shadow/>
          <w:spacing w:val="20"/>
          <w:sz w:val="32"/>
        </w:rPr>
        <w:t>РЕФЕРАТ</w:t>
      </w:r>
    </w:p>
    <w:p w:rsidR="00626DAF" w:rsidRDefault="00626DAF">
      <w:pPr>
        <w:pStyle w:val="a8"/>
        <w:rPr>
          <w:rFonts w:ascii="Times New Roman" w:hAnsi="Times New Roman"/>
          <w:sz w:val="24"/>
        </w:rPr>
      </w:pPr>
    </w:p>
    <w:p w:rsidR="00626DAF" w:rsidRDefault="005D3C96">
      <w:pPr>
        <w:pStyle w:val="a8"/>
        <w:jc w:val="center"/>
        <w:rPr>
          <w:rFonts w:ascii="Times New Roman" w:hAnsi="Times New Roman"/>
          <w:i/>
          <w:sz w:val="24"/>
        </w:rPr>
      </w:pPr>
      <w:r>
        <w:rPr>
          <w:rFonts w:ascii="Times New Roman" w:hAnsi="Times New Roman"/>
          <w:i/>
          <w:sz w:val="24"/>
        </w:rPr>
        <w:t>на тему:</w:t>
      </w:r>
    </w:p>
    <w:p w:rsidR="00626DAF" w:rsidRDefault="00626DAF">
      <w:pPr>
        <w:jc w:val="center"/>
        <w:rPr>
          <w:b/>
          <w:caps/>
          <w:sz w:val="24"/>
          <w:lang w:val="ru-RU"/>
        </w:rPr>
      </w:pPr>
    </w:p>
    <w:p w:rsidR="00626DAF" w:rsidRDefault="005D3C96">
      <w:pPr>
        <w:pStyle w:val="Igoreshka"/>
        <w:jc w:val="center"/>
        <w:rPr>
          <w:b/>
          <w:caps/>
        </w:rPr>
      </w:pPr>
      <w:r>
        <w:rPr>
          <w:b/>
          <w:caps/>
        </w:rPr>
        <w:t>«</w:t>
      </w:r>
      <w:r>
        <w:t>Лондонский и Парижский клубы кредиторов</w:t>
      </w:r>
      <w:r>
        <w:rPr>
          <w:b/>
          <w:caps/>
        </w:rPr>
        <w:t>»</w:t>
      </w:r>
    </w:p>
    <w:p w:rsidR="00626DAF" w:rsidRDefault="00626DAF">
      <w:pPr>
        <w:pStyle w:val="a8"/>
        <w:rPr>
          <w:rFonts w:ascii="Times New Roman" w:hAnsi="Times New Roman"/>
          <w:sz w:val="24"/>
        </w:rPr>
      </w:pPr>
    </w:p>
    <w:p w:rsidR="00626DAF" w:rsidRDefault="005D3C96">
      <w:pPr>
        <w:pStyle w:val="a8"/>
        <w:jc w:val="center"/>
        <w:rPr>
          <w:rFonts w:ascii="Times New Roman" w:hAnsi="Times New Roman"/>
          <w:i/>
          <w:sz w:val="24"/>
        </w:rPr>
      </w:pPr>
      <w:r>
        <w:rPr>
          <w:rFonts w:ascii="Times New Roman" w:hAnsi="Times New Roman"/>
          <w:i/>
          <w:sz w:val="24"/>
        </w:rPr>
        <w:t>по дисциплине:</w:t>
      </w:r>
    </w:p>
    <w:p w:rsidR="00626DAF" w:rsidRDefault="00626DAF">
      <w:pPr>
        <w:pStyle w:val="a8"/>
        <w:jc w:val="center"/>
        <w:rPr>
          <w:rFonts w:ascii="Times New Roman" w:hAnsi="Times New Roman"/>
          <w:sz w:val="24"/>
        </w:rPr>
      </w:pPr>
    </w:p>
    <w:p w:rsidR="00626DAF" w:rsidRDefault="005D3C96">
      <w:pPr>
        <w:pStyle w:val="a8"/>
        <w:jc w:val="center"/>
        <w:rPr>
          <w:rFonts w:ascii="Times New Roman" w:hAnsi="Times New Roman"/>
          <w:b/>
          <w:sz w:val="24"/>
        </w:rPr>
      </w:pPr>
      <w:r>
        <w:rPr>
          <w:rFonts w:ascii="Times New Roman" w:hAnsi="Times New Roman"/>
          <w:b/>
          <w:sz w:val="24"/>
        </w:rPr>
        <w:t>“Международная экономика”</w:t>
      </w:r>
    </w:p>
    <w:p w:rsidR="00626DAF" w:rsidRDefault="00626DAF">
      <w:pPr>
        <w:pStyle w:val="a8"/>
        <w:rPr>
          <w:rFonts w:ascii="Times New Roman" w:hAnsi="Times New Roman"/>
          <w:sz w:val="24"/>
        </w:rPr>
      </w:pPr>
    </w:p>
    <w:p w:rsidR="00626DAF" w:rsidRDefault="00626DAF">
      <w:pPr>
        <w:pStyle w:val="a8"/>
        <w:rPr>
          <w:rFonts w:ascii="Times New Roman" w:hAnsi="Times New Roman"/>
          <w:sz w:val="24"/>
        </w:rPr>
      </w:pPr>
    </w:p>
    <w:p w:rsidR="00626DAF" w:rsidRDefault="00626DAF">
      <w:pPr>
        <w:pStyle w:val="a8"/>
        <w:ind w:firstLine="8505"/>
        <w:rPr>
          <w:rFonts w:ascii="Times New Roman" w:hAnsi="Times New Roman"/>
          <w:sz w:val="24"/>
        </w:rPr>
      </w:pPr>
    </w:p>
    <w:p w:rsidR="00626DAF" w:rsidRDefault="00626DAF">
      <w:pPr>
        <w:pStyle w:val="a8"/>
        <w:ind w:firstLine="8505"/>
        <w:rPr>
          <w:rFonts w:ascii="Times New Roman" w:hAnsi="Times New Roman"/>
          <w:sz w:val="24"/>
        </w:rPr>
      </w:pPr>
    </w:p>
    <w:p w:rsidR="00626DAF" w:rsidRDefault="00626DAF">
      <w:pPr>
        <w:pStyle w:val="a8"/>
        <w:ind w:firstLine="8505"/>
        <w:rPr>
          <w:rFonts w:ascii="Times New Roman" w:hAnsi="Times New Roman"/>
          <w:sz w:val="24"/>
        </w:rPr>
      </w:pPr>
    </w:p>
    <w:p w:rsidR="00626DAF" w:rsidRDefault="00626DAF">
      <w:pPr>
        <w:pStyle w:val="a8"/>
        <w:ind w:firstLine="8222"/>
        <w:rPr>
          <w:rFonts w:ascii="Times New Roman" w:hAnsi="Times New Roman"/>
          <w:sz w:val="24"/>
        </w:rPr>
      </w:pPr>
    </w:p>
    <w:p w:rsidR="00626DAF" w:rsidRDefault="00626DAF">
      <w:pPr>
        <w:pStyle w:val="a8"/>
        <w:ind w:firstLine="8222"/>
        <w:rPr>
          <w:rFonts w:ascii="Times New Roman" w:hAnsi="Times New Roman"/>
          <w:i/>
          <w:sz w:val="24"/>
        </w:rPr>
      </w:pPr>
    </w:p>
    <w:p w:rsidR="00626DAF" w:rsidRDefault="005D3C96">
      <w:pPr>
        <w:pStyle w:val="a8"/>
        <w:ind w:firstLine="7513"/>
        <w:rPr>
          <w:rFonts w:ascii="Times New Roman" w:hAnsi="Times New Roman"/>
          <w:sz w:val="24"/>
        </w:rPr>
      </w:pPr>
      <w:r>
        <w:rPr>
          <w:rFonts w:ascii="Times New Roman" w:hAnsi="Times New Roman"/>
          <w:i/>
          <w:sz w:val="24"/>
        </w:rPr>
        <w:t>Выполнил:</w:t>
      </w:r>
    </w:p>
    <w:p w:rsidR="00626DAF" w:rsidRDefault="005D3C96">
      <w:pPr>
        <w:pStyle w:val="a8"/>
        <w:ind w:firstLine="7513"/>
        <w:rPr>
          <w:rFonts w:ascii="Times New Roman" w:hAnsi="Times New Roman"/>
          <w:sz w:val="24"/>
        </w:rPr>
      </w:pPr>
      <w:r>
        <w:rPr>
          <w:rFonts w:ascii="Times New Roman" w:hAnsi="Times New Roman"/>
          <w:sz w:val="24"/>
        </w:rPr>
        <w:t>Ст. гр. АУ-21д</w:t>
      </w:r>
    </w:p>
    <w:p w:rsidR="00626DAF" w:rsidRDefault="005D3C96">
      <w:pPr>
        <w:pStyle w:val="a8"/>
        <w:ind w:firstLine="7513"/>
        <w:rPr>
          <w:rFonts w:ascii="Times New Roman" w:hAnsi="Times New Roman"/>
          <w:b/>
          <w:caps/>
          <w:sz w:val="24"/>
        </w:rPr>
      </w:pPr>
      <w:r>
        <w:rPr>
          <w:rFonts w:ascii="Times New Roman" w:hAnsi="Times New Roman"/>
          <w:b/>
          <w:caps/>
          <w:sz w:val="24"/>
        </w:rPr>
        <w:t>Дебнарёв М. А.</w:t>
      </w:r>
    </w:p>
    <w:p w:rsidR="00626DAF" w:rsidRDefault="005D3C96">
      <w:pPr>
        <w:pStyle w:val="a8"/>
        <w:ind w:firstLine="7513"/>
        <w:rPr>
          <w:rFonts w:ascii="Times New Roman" w:hAnsi="Times New Roman"/>
          <w:sz w:val="24"/>
        </w:rPr>
      </w:pPr>
      <w:r>
        <w:rPr>
          <w:rFonts w:ascii="Times New Roman" w:hAnsi="Times New Roman"/>
          <w:sz w:val="24"/>
        </w:rPr>
        <w:t>25.04.2000г.</w:t>
      </w:r>
    </w:p>
    <w:p w:rsidR="00626DAF" w:rsidRDefault="00626DAF">
      <w:pPr>
        <w:pStyle w:val="a8"/>
        <w:ind w:firstLine="7513"/>
        <w:rPr>
          <w:rFonts w:ascii="Times New Roman" w:hAnsi="Times New Roman"/>
          <w:i/>
          <w:sz w:val="24"/>
        </w:rPr>
      </w:pPr>
    </w:p>
    <w:p w:rsidR="00626DAF" w:rsidRDefault="005D3C96">
      <w:pPr>
        <w:pStyle w:val="a8"/>
        <w:ind w:firstLine="7513"/>
        <w:rPr>
          <w:rFonts w:ascii="Times New Roman" w:hAnsi="Times New Roman"/>
          <w:i/>
          <w:sz w:val="24"/>
        </w:rPr>
      </w:pPr>
      <w:r>
        <w:rPr>
          <w:rFonts w:ascii="Times New Roman" w:hAnsi="Times New Roman"/>
          <w:i/>
          <w:sz w:val="24"/>
        </w:rPr>
        <w:t>______________</w:t>
      </w:r>
    </w:p>
    <w:p w:rsidR="00626DAF" w:rsidRDefault="00626DAF">
      <w:pPr>
        <w:pStyle w:val="a8"/>
        <w:ind w:firstLine="7513"/>
        <w:rPr>
          <w:rFonts w:ascii="Times New Roman" w:hAnsi="Times New Roman"/>
          <w:i/>
          <w:sz w:val="24"/>
        </w:rPr>
      </w:pPr>
    </w:p>
    <w:p w:rsidR="00626DAF" w:rsidRDefault="00626DAF">
      <w:pPr>
        <w:pStyle w:val="a8"/>
        <w:ind w:firstLine="7513"/>
        <w:rPr>
          <w:rFonts w:ascii="Times New Roman" w:hAnsi="Times New Roman"/>
          <w:i/>
          <w:sz w:val="24"/>
        </w:rPr>
      </w:pPr>
    </w:p>
    <w:p w:rsidR="00626DAF" w:rsidRDefault="005D3C96">
      <w:pPr>
        <w:pStyle w:val="a8"/>
        <w:ind w:firstLine="7513"/>
        <w:rPr>
          <w:rFonts w:ascii="Times New Roman" w:hAnsi="Times New Roman"/>
          <w:sz w:val="24"/>
        </w:rPr>
      </w:pPr>
      <w:r>
        <w:rPr>
          <w:rFonts w:ascii="Times New Roman" w:hAnsi="Times New Roman"/>
          <w:i/>
          <w:sz w:val="24"/>
        </w:rPr>
        <w:t>Приняла:</w:t>
      </w:r>
    </w:p>
    <w:p w:rsidR="00626DAF" w:rsidRDefault="005D3C96">
      <w:pPr>
        <w:pStyle w:val="a8"/>
        <w:ind w:firstLine="7513"/>
        <w:rPr>
          <w:rFonts w:ascii="Times New Roman" w:hAnsi="Times New Roman"/>
          <w:b/>
          <w:caps/>
          <w:sz w:val="24"/>
        </w:rPr>
      </w:pPr>
      <w:r>
        <w:rPr>
          <w:rFonts w:ascii="Times New Roman" w:hAnsi="Times New Roman"/>
          <w:b/>
          <w:caps/>
          <w:sz w:val="24"/>
        </w:rPr>
        <w:t>ЛОБАНОВА Т. А.</w:t>
      </w:r>
    </w:p>
    <w:p w:rsidR="00626DAF" w:rsidRDefault="005D3C96">
      <w:pPr>
        <w:pStyle w:val="a8"/>
        <w:ind w:firstLine="8222"/>
        <w:rPr>
          <w:rFonts w:ascii="Times New Roman" w:hAnsi="Times New Roman"/>
          <w:sz w:val="24"/>
        </w:rPr>
      </w:pPr>
      <w:r>
        <w:rPr>
          <w:rFonts w:ascii="Times New Roman" w:hAnsi="Times New Roman"/>
          <w:sz w:val="24"/>
        </w:rPr>
        <w:t xml:space="preserve"> </w:t>
      </w:r>
    </w:p>
    <w:p w:rsidR="00626DAF" w:rsidRDefault="00626DAF">
      <w:pPr>
        <w:pStyle w:val="a8"/>
        <w:ind w:firstLine="720"/>
        <w:rPr>
          <w:rFonts w:ascii="Times New Roman" w:hAnsi="Times New Roman"/>
          <w:sz w:val="24"/>
        </w:rPr>
      </w:pPr>
    </w:p>
    <w:p w:rsidR="00626DAF" w:rsidRDefault="00626DAF">
      <w:pPr>
        <w:pStyle w:val="a8"/>
        <w:ind w:firstLine="720"/>
        <w:rPr>
          <w:rFonts w:ascii="Times New Roman" w:hAnsi="Times New Roman"/>
          <w:sz w:val="24"/>
        </w:rPr>
      </w:pPr>
    </w:p>
    <w:p w:rsidR="00626DAF" w:rsidRDefault="00626DAF">
      <w:pPr>
        <w:pStyle w:val="a8"/>
        <w:ind w:firstLine="720"/>
        <w:rPr>
          <w:rFonts w:ascii="Times New Roman" w:hAnsi="Times New Roman"/>
          <w:sz w:val="24"/>
        </w:rPr>
      </w:pPr>
    </w:p>
    <w:p w:rsidR="00626DAF" w:rsidRDefault="00626DAF">
      <w:pPr>
        <w:pStyle w:val="a8"/>
        <w:ind w:firstLine="720"/>
        <w:rPr>
          <w:rFonts w:ascii="Times New Roman" w:hAnsi="Times New Roman"/>
          <w:sz w:val="24"/>
        </w:rPr>
      </w:pPr>
    </w:p>
    <w:p w:rsidR="00626DAF" w:rsidRDefault="00626DAF">
      <w:pPr>
        <w:pStyle w:val="a8"/>
        <w:ind w:firstLine="720"/>
        <w:rPr>
          <w:rFonts w:ascii="Times New Roman" w:hAnsi="Times New Roman"/>
          <w:sz w:val="24"/>
        </w:rPr>
      </w:pPr>
    </w:p>
    <w:p w:rsidR="00626DAF" w:rsidRDefault="00626DAF">
      <w:pPr>
        <w:pStyle w:val="a8"/>
        <w:ind w:firstLine="720"/>
        <w:rPr>
          <w:rFonts w:ascii="Times New Roman" w:hAnsi="Times New Roman"/>
          <w:sz w:val="24"/>
        </w:rPr>
      </w:pPr>
    </w:p>
    <w:p w:rsidR="00626DAF" w:rsidRDefault="00626DAF">
      <w:pPr>
        <w:pStyle w:val="a8"/>
        <w:ind w:firstLine="720"/>
        <w:rPr>
          <w:rFonts w:ascii="Times New Roman" w:hAnsi="Times New Roman"/>
          <w:sz w:val="32"/>
        </w:rPr>
      </w:pPr>
    </w:p>
    <w:p w:rsidR="00626DAF" w:rsidRDefault="00626DAF">
      <w:pPr>
        <w:pStyle w:val="a8"/>
        <w:ind w:firstLine="720"/>
        <w:jc w:val="center"/>
        <w:rPr>
          <w:rFonts w:ascii="Times New Roman" w:hAnsi="Times New Roman"/>
          <w:b/>
          <w:sz w:val="32"/>
        </w:rPr>
      </w:pPr>
    </w:p>
    <w:p w:rsidR="00626DAF" w:rsidRDefault="005D3C96">
      <w:pPr>
        <w:pStyle w:val="a8"/>
        <w:ind w:firstLine="720"/>
        <w:jc w:val="center"/>
        <w:rPr>
          <w:rFonts w:ascii="Times New Roman" w:hAnsi="Times New Roman"/>
          <w:b/>
          <w:sz w:val="32"/>
        </w:rPr>
      </w:pPr>
      <w:r>
        <w:rPr>
          <w:rFonts w:ascii="Times New Roman" w:hAnsi="Times New Roman"/>
          <w:b/>
          <w:sz w:val="32"/>
        </w:rPr>
        <w:t>СЕВАСТОПОЛЬ</w:t>
      </w:r>
    </w:p>
    <w:p w:rsidR="00626DAF" w:rsidRDefault="005D3C96">
      <w:pPr>
        <w:pStyle w:val="a8"/>
        <w:ind w:firstLine="720"/>
        <w:jc w:val="center"/>
        <w:rPr>
          <w:rFonts w:ascii="Times New Roman" w:hAnsi="Times New Roman"/>
          <w:b/>
          <w:sz w:val="32"/>
        </w:rPr>
      </w:pPr>
      <w:r>
        <w:rPr>
          <w:rFonts w:ascii="Times New Roman" w:hAnsi="Times New Roman"/>
          <w:b/>
          <w:sz w:val="32"/>
        </w:rPr>
        <w:t>2000</w:t>
      </w:r>
    </w:p>
    <w:p w:rsidR="00626DAF" w:rsidRDefault="005D3C96">
      <w:pPr>
        <w:pStyle w:val="Igoreshka"/>
        <w:jc w:val="center"/>
        <w:rPr>
          <w:b/>
          <w:sz w:val="28"/>
        </w:rPr>
      </w:pPr>
      <w:bookmarkStart w:id="0" w:name="_Toc404693942"/>
      <w:r>
        <w:rPr>
          <w:b/>
          <w:sz w:val="28"/>
        </w:rPr>
        <w:br w:type="page"/>
        <w:t>Оглавление</w:t>
      </w:r>
      <w:bookmarkEnd w:id="0"/>
    </w:p>
    <w:p w:rsidR="00626DAF" w:rsidRDefault="005D3C96">
      <w:pPr>
        <w:pStyle w:val="1"/>
        <w:spacing w:line="240" w:lineRule="exact"/>
        <w:ind w:firstLine="720"/>
        <w:rPr>
          <w:rFonts w:ascii="Times New Roman" w:hAnsi="Times New Roman"/>
          <w:b w:val="0"/>
          <w:lang w:val="ru-RU"/>
        </w:rPr>
      </w:pPr>
      <w:r>
        <w:rPr>
          <w:rFonts w:ascii="Times New Roman" w:hAnsi="Times New Roman"/>
          <w:b w:val="0"/>
          <w:lang w:val="ru-RU"/>
        </w:rPr>
        <w:t>Внешний долг России……………………………………….………..…….</w:t>
      </w:r>
      <w:r>
        <w:rPr>
          <w:rFonts w:ascii="Times New Roman" w:hAnsi="Times New Roman"/>
          <w:lang w:val="ru-RU"/>
        </w:rPr>
        <w:t>3</w:t>
      </w:r>
    </w:p>
    <w:p w:rsidR="00626DAF" w:rsidRDefault="005D3C96">
      <w:pPr>
        <w:pStyle w:val="1"/>
        <w:spacing w:line="240" w:lineRule="exact"/>
        <w:ind w:firstLine="720"/>
        <w:rPr>
          <w:rFonts w:ascii="Times New Roman" w:hAnsi="Times New Roman"/>
          <w:b w:val="0"/>
          <w:lang w:val="ru-RU"/>
        </w:rPr>
      </w:pPr>
      <w:r>
        <w:rPr>
          <w:rFonts w:ascii="Times New Roman" w:hAnsi="Times New Roman"/>
          <w:b w:val="0"/>
          <w:lang w:val="ru-RU"/>
        </w:rPr>
        <w:t>Из истории вопроса………………………………………….………...……</w:t>
      </w:r>
      <w:r>
        <w:rPr>
          <w:rFonts w:ascii="Times New Roman" w:hAnsi="Times New Roman"/>
          <w:lang w:val="ru-RU"/>
        </w:rPr>
        <w:t>3</w:t>
      </w:r>
    </w:p>
    <w:p w:rsidR="00626DAF" w:rsidRDefault="005D3C96">
      <w:pPr>
        <w:pStyle w:val="2"/>
        <w:spacing w:line="240" w:lineRule="exact"/>
        <w:ind w:firstLine="720"/>
        <w:rPr>
          <w:rFonts w:ascii="Times New Roman" w:hAnsi="Times New Roman"/>
          <w:b w:val="0"/>
          <w:i w:val="0"/>
          <w:sz w:val="28"/>
          <w:lang w:val="ru-RU"/>
        </w:rPr>
      </w:pPr>
      <w:r>
        <w:rPr>
          <w:rFonts w:ascii="Times New Roman" w:hAnsi="Times New Roman"/>
          <w:b w:val="0"/>
          <w:i w:val="0"/>
          <w:sz w:val="28"/>
          <w:lang w:val="ru-RU"/>
        </w:rPr>
        <w:t>Российские долги выходят на мировой финансовый рынок…….….…..</w:t>
      </w:r>
      <w:r>
        <w:rPr>
          <w:rFonts w:ascii="Times New Roman" w:hAnsi="Times New Roman"/>
          <w:i w:val="0"/>
          <w:sz w:val="28"/>
          <w:lang w:val="ru-RU"/>
        </w:rPr>
        <w:t>3</w:t>
      </w:r>
    </w:p>
    <w:p w:rsidR="00626DAF" w:rsidRDefault="005D3C96">
      <w:pPr>
        <w:pStyle w:val="1"/>
        <w:spacing w:line="240" w:lineRule="exact"/>
        <w:ind w:firstLine="720"/>
        <w:rPr>
          <w:rFonts w:ascii="Times New Roman" w:hAnsi="Times New Roman"/>
          <w:lang w:val="ru-RU"/>
        </w:rPr>
      </w:pPr>
      <w:r>
        <w:rPr>
          <w:rFonts w:ascii="Times New Roman" w:hAnsi="Times New Roman"/>
          <w:b w:val="0"/>
          <w:lang w:val="ru-RU"/>
        </w:rPr>
        <w:t>Библиография……………………………………………………….….…..</w:t>
      </w:r>
      <w:r>
        <w:rPr>
          <w:rFonts w:ascii="Times New Roman" w:hAnsi="Times New Roman"/>
          <w:lang w:val="ru-RU"/>
        </w:rPr>
        <w:t>5</w:t>
      </w:r>
    </w:p>
    <w:p w:rsidR="00626DAF" w:rsidRDefault="005D3C96">
      <w:pPr>
        <w:pStyle w:val="Igoreshka"/>
        <w:spacing w:line="240" w:lineRule="auto"/>
        <w:rPr>
          <w:b/>
          <w:sz w:val="28"/>
        </w:rPr>
      </w:pPr>
      <w:r>
        <w:rPr>
          <w:sz w:val="28"/>
        </w:rPr>
        <w:t xml:space="preserve">Приложение А </w:t>
      </w:r>
      <w:r>
        <w:t>(Лондонский и Парижский клубы)</w:t>
      </w:r>
      <w:r>
        <w:rPr>
          <w:sz w:val="28"/>
        </w:rPr>
        <w:t>……………………….…..</w:t>
      </w:r>
      <w:r>
        <w:rPr>
          <w:b/>
          <w:sz w:val="28"/>
        </w:rPr>
        <w:t>6</w:t>
      </w:r>
    </w:p>
    <w:p w:rsidR="00626DAF" w:rsidRDefault="00626DAF">
      <w:pPr>
        <w:rPr>
          <w:lang w:val="ru-RU"/>
        </w:rPr>
      </w:pPr>
    </w:p>
    <w:p w:rsidR="00626DAF" w:rsidRDefault="00626DAF">
      <w:pPr>
        <w:pStyle w:val="a3"/>
        <w:rPr>
          <w:lang w:val="ru-RU"/>
        </w:rPr>
      </w:pPr>
    </w:p>
    <w:p w:rsidR="00626DAF" w:rsidRDefault="005D3C96">
      <w:pPr>
        <w:pStyle w:val="1"/>
        <w:ind w:firstLine="720"/>
        <w:jc w:val="center"/>
        <w:rPr>
          <w:rFonts w:ascii="Times New Roman" w:hAnsi="Times New Roman"/>
          <w:lang w:val="ru-RU"/>
        </w:rPr>
      </w:pPr>
      <w:r>
        <w:rPr>
          <w:lang w:val="ru-RU"/>
        </w:rPr>
        <w:br w:type="page"/>
      </w:r>
      <w:bookmarkStart w:id="1" w:name="_Toc404693944"/>
      <w:bookmarkStart w:id="2" w:name="_Toc404694033"/>
      <w:r>
        <w:rPr>
          <w:rFonts w:ascii="Times New Roman" w:hAnsi="Times New Roman"/>
          <w:lang w:val="ru-RU"/>
        </w:rPr>
        <w:t>Внешний долг России</w:t>
      </w:r>
      <w:bookmarkEnd w:id="1"/>
      <w:bookmarkEnd w:id="2"/>
    </w:p>
    <w:p w:rsidR="00626DAF" w:rsidRDefault="00626DAF">
      <w:pPr>
        <w:pStyle w:val="Igoreshka"/>
        <w:spacing w:line="240" w:lineRule="auto"/>
      </w:pPr>
    </w:p>
    <w:p w:rsidR="00626DAF" w:rsidRDefault="005D3C96">
      <w:pPr>
        <w:pStyle w:val="Igoreshka"/>
        <w:spacing w:line="240" w:lineRule="auto"/>
      </w:pPr>
      <w:r>
        <w:t>Внешний долг СССР зарубежным банкам на сумму более 30 миллиардов долларов реструктурирован. Это произошло после того, как Внешэкономбанк и Лондонский клуб банков-кредиторов подписали в Москве соглашение о реструктуризации внешней задолженности СССР зарубежным коммерческим банкам. Долговое бремя (30 с лишним миллиардов долларов) после пяти лет переговоров и тщательной работы наконец ослаблено. Тем не менее ситуация с внешним долгом РФ остается весьма тревожной.</w:t>
      </w:r>
    </w:p>
    <w:p w:rsidR="00626DAF" w:rsidRDefault="005D3C96">
      <w:pPr>
        <w:pStyle w:val="2"/>
        <w:ind w:firstLine="720"/>
        <w:jc w:val="center"/>
        <w:rPr>
          <w:rFonts w:ascii="Times New Roman" w:hAnsi="Times New Roman"/>
          <w:lang w:val="ru-RU"/>
        </w:rPr>
      </w:pPr>
      <w:bookmarkStart w:id="3" w:name="_Toc404693945"/>
      <w:bookmarkStart w:id="4" w:name="_Toc404694034"/>
      <w:r>
        <w:rPr>
          <w:rFonts w:ascii="Times New Roman" w:hAnsi="Times New Roman"/>
          <w:lang w:val="ru-RU"/>
        </w:rPr>
        <w:t>Из истории вопроса</w:t>
      </w:r>
      <w:bookmarkEnd w:id="3"/>
      <w:bookmarkEnd w:id="4"/>
    </w:p>
    <w:p w:rsidR="00626DAF" w:rsidRDefault="00626DAF">
      <w:pPr>
        <w:pStyle w:val="Igoreshka"/>
        <w:spacing w:line="240" w:lineRule="auto"/>
      </w:pPr>
    </w:p>
    <w:p w:rsidR="00626DAF" w:rsidRDefault="005D3C96">
      <w:pPr>
        <w:pStyle w:val="Igoreshka"/>
        <w:spacing w:line="240" w:lineRule="auto"/>
      </w:pPr>
      <w:r>
        <w:t>В 1991 году после распада СССР сначала предполагалось, что каждое из государств будет нести свою долю ответственности по внешнему долгу (союзный долг тогда оценивался в 108 миллиардов долларов), а также иметь соответствующую долю в активах бывшего СССР.</w:t>
      </w:r>
    </w:p>
    <w:p w:rsidR="00626DAF" w:rsidRDefault="005D3C96">
      <w:pPr>
        <w:pStyle w:val="Igoreshka"/>
        <w:spacing w:line="240" w:lineRule="auto"/>
      </w:pPr>
      <w:r>
        <w:t xml:space="preserve">Однако получилось так, что только Россия смогла обслуживать свои обязательства по внешним долгам. Поэтому вскоре договорились, что Россия примет на себя долги всех бывших республик СССР в обмен на их отказ от причитающейся доли активов (так называемый нулевой вариант). Переговоры с Лондонским клубом о долгосрочной реструктуризации долгов СССР коммерческим банкам Россия вела с декабря 1992 года. Первоначально прогрессу переговоров препятствовала позиция банков-кредиторов, настаивавших на отказе России от государственного иммунитета (это означало, что взыскания кредиторов могли быть обращены на активы СССР или России за рубежом). Осенью 1994 года на сессии МВФ в Мадриде стороны нашли компромисс, договорившись, что должником перед Лондонским клубом будет выступать Внешэкономбанк. На время переговоров банки-кредиторы предоставляли Внешэкономбанку отсрочки платежей (так называемые ролл-оверы). Всего в рамках Лондонского клуба был предоставлен 21 ролл-овер. В ноябре 1995 года во Франкфурте-на-Майне правительство РФ и члены </w:t>
      </w:r>
      <w:r>
        <w:rPr>
          <w:caps/>
        </w:rPr>
        <w:t>б</w:t>
      </w:r>
      <w:r>
        <w:t>анковского консультативного комитета Лондонского клуба подписали Меморандум о согласованных принципах глобальной реструктуризации долга бывшего СССР клубу на общую сумму 32,3 миллиарда долларов, включая проценты сроком на 25 лет с семилетним льготным периодом.</w:t>
      </w:r>
    </w:p>
    <w:p w:rsidR="00626DAF" w:rsidRDefault="005D3C96">
      <w:pPr>
        <w:pStyle w:val="Igoreshka"/>
        <w:spacing w:line="240" w:lineRule="auto"/>
      </w:pPr>
      <w:r>
        <w:t>После этого Внешэкономбанк подготовил и разослал 400 с лишним банкам-кредиторам финансовые условия урегулирования задолженности перед Лондонским клубом, а это около 27 тысяч отдельных долговых требований в 15 валютах (сложность и масштабность сделки не имеют равных в двадцатилетней истории клуба). По состоянию на 3 октября 1997 года объем выверенной и подтвержденной в официальных протоколах задолженности составил 21,9 миллиарда долларов, или более 91% требований, заявленных кредиторами. Сделка с клубом вышла на финишную прямую.</w:t>
      </w:r>
    </w:p>
    <w:p w:rsidR="00626DAF" w:rsidRDefault="005D3C96">
      <w:pPr>
        <w:pStyle w:val="2"/>
        <w:ind w:firstLine="720"/>
        <w:jc w:val="center"/>
        <w:rPr>
          <w:rFonts w:ascii="Times New Roman" w:hAnsi="Times New Roman"/>
          <w:lang w:val="ru-RU"/>
        </w:rPr>
      </w:pPr>
      <w:bookmarkStart w:id="5" w:name="_Toc404693946"/>
      <w:bookmarkStart w:id="6" w:name="_Toc404694035"/>
      <w:r>
        <w:rPr>
          <w:rFonts w:ascii="Times New Roman" w:hAnsi="Times New Roman"/>
          <w:lang w:val="ru-RU"/>
        </w:rPr>
        <w:t>Российские долги выходят на мировой финансовый рынок</w:t>
      </w:r>
      <w:bookmarkEnd w:id="5"/>
      <w:bookmarkEnd w:id="6"/>
    </w:p>
    <w:p w:rsidR="00626DAF" w:rsidRDefault="00626DAF">
      <w:pPr>
        <w:pStyle w:val="Igoreshka"/>
        <w:spacing w:line="240" w:lineRule="auto"/>
        <w:rPr>
          <w:caps/>
        </w:rPr>
      </w:pPr>
    </w:p>
    <w:p w:rsidR="00626DAF" w:rsidRDefault="005D3C96">
      <w:pPr>
        <w:pStyle w:val="Igoreshka"/>
        <w:spacing w:line="240" w:lineRule="auto"/>
      </w:pPr>
      <w:r>
        <w:rPr>
          <w:caps/>
        </w:rPr>
        <w:t>п</w:t>
      </w:r>
      <w:r>
        <w:t>редметом соглашения с Лондонским клубом являлась задолженность бывшего СССР частным банкам по кредитам, не застрахованным и не гарантированным государственными компаниями, заключенными до 31 декабря 1991 года. Сумма основного долга составляла 24 миллиарда долларов, процентные платежи - 8,3 миллиардов долларов. Сумма долга была разбита на две части. Основной долг (</w:t>
      </w:r>
      <w:r>
        <w:rPr>
          <w:lang w:val="en-US"/>
        </w:rPr>
        <w:t>Principal</w:t>
      </w:r>
      <w:r>
        <w:t xml:space="preserve"> </w:t>
      </w:r>
      <w:r>
        <w:rPr>
          <w:lang w:val="en-US"/>
        </w:rPr>
        <w:t>Loan</w:t>
      </w:r>
      <w:r>
        <w:t xml:space="preserve">) планировалось оформить в ценные бездокументарные бумаги, а проценты по нему - в бумажные процентные облигации, </w:t>
      </w:r>
      <w:r>
        <w:rPr>
          <w:lang w:val="en-US"/>
        </w:rPr>
        <w:t>Interest</w:t>
      </w:r>
      <w:r>
        <w:t xml:space="preserve"> </w:t>
      </w:r>
      <w:r>
        <w:rPr>
          <w:lang w:val="en-US"/>
        </w:rPr>
        <w:t>Accrual</w:t>
      </w:r>
      <w:r>
        <w:t xml:space="preserve"> </w:t>
      </w:r>
      <w:r>
        <w:rPr>
          <w:lang w:val="en-US"/>
        </w:rPr>
        <w:t>Notes</w:t>
      </w:r>
      <w:r>
        <w:t xml:space="preserve"> (</w:t>
      </w:r>
      <w:r>
        <w:rPr>
          <w:lang w:val="en-US"/>
        </w:rPr>
        <w:t>IAN</w:t>
      </w:r>
      <w:r>
        <w:t xml:space="preserve">). Их эмитентом будет выступать Внешэкономбанк, они будут зарегистрированы на Люксембургской фондовой бирже. Предусмотрено обращение этих облигаций как в России, так и за ее пределами (в Европейской клиринговой системе </w:t>
      </w:r>
      <w:r>
        <w:rPr>
          <w:lang w:val="en-US"/>
        </w:rPr>
        <w:t>Euroclear</w:t>
      </w:r>
      <w:r>
        <w:t>). Хотя эмитентом новых бумаг будет Внешэкономбанк, они согласно постановлению правительства от 15 сентября 1997 года были приравнены по статусу к долговым обязательствам государства</w:t>
      </w:r>
    </w:p>
    <w:p w:rsidR="00626DAF" w:rsidRDefault="00626DAF">
      <w:pPr>
        <w:pStyle w:val="Igoreshka"/>
        <w:spacing w:line="240" w:lineRule="auto"/>
        <w:jc w:val="center"/>
        <w:rPr>
          <w:b/>
          <w:i/>
        </w:rPr>
      </w:pPr>
    </w:p>
    <w:p w:rsidR="00626DAF" w:rsidRDefault="005D3C96">
      <w:pPr>
        <w:pStyle w:val="Igoreshka"/>
        <w:spacing w:line="240" w:lineRule="auto"/>
        <w:jc w:val="center"/>
        <w:rPr>
          <w:b/>
          <w:i/>
        </w:rPr>
      </w:pPr>
      <w:r>
        <w:rPr>
          <w:b/>
          <w:i/>
        </w:rPr>
        <w:t>Котировки реструктурированного долга России Лондонскому клубу (</w:t>
      </w:r>
      <w:r>
        <w:rPr>
          <w:b/>
          <w:i/>
          <w:lang w:val="en-US"/>
        </w:rPr>
        <w:t>Principal</w:t>
      </w:r>
      <w:r>
        <w:rPr>
          <w:b/>
          <w:i/>
        </w:rPr>
        <w:t xml:space="preserve"> </w:t>
      </w:r>
      <w:r>
        <w:rPr>
          <w:b/>
          <w:i/>
          <w:lang w:val="en-US"/>
        </w:rPr>
        <w:t>Loans</w:t>
      </w:r>
      <w:r>
        <w:rPr>
          <w:b/>
          <w:i/>
        </w:rPr>
        <w:t>)</w:t>
      </w:r>
    </w:p>
    <w:p w:rsidR="00626DAF" w:rsidRDefault="00626DAF">
      <w:pPr>
        <w:pStyle w:val="Igoreshka"/>
        <w:spacing w:line="240" w:lineRule="auto"/>
        <w:jc w:val="center"/>
        <w:rPr>
          <w:i/>
        </w:rPr>
      </w:pPr>
    </w:p>
    <w:bookmarkStart w:id="7" w:name="_MON_1017941624"/>
    <w:bookmarkEnd w:id="7"/>
    <w:p w:rsidR="00626DAF" w:rsidRDefault="005D3C96">
      <w:pPr>
        <w:pStyle w:val="Igoreshka"/>
        <w:spacing w:line="240" w:lineRule="auto"/>
        <w:jc w:val="center"/>
        <w:rPr>
          <w:lang w:val="en-US"/>
        </w:rPr>
      </w:pPr>
      <w:r>
        <w:rPr>
          <w:i/>
        </w:rPr>
        <w:object w:dxaOrig="5049" w:dyaOrig="3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181.5pt" o:ole="" fillcolor="window">
            <v:imagedata r:id="rId7" o:title=""/>
          </v:shape>
          <o:OLEObject Type="Embed" ProgID="Word.Picture.8" ShapeID="_x0000_i1025" DrawAspect="Content" ObjectID="_1468857629" r:id="rId8"/>
        </w:object>
      </w:r>
    </w:p>
    <w:p w:rsidR="00626DAF" w:rsidRDefault="00626DAF">
      <w:pPr>
        <w:pStyle w:val="Igoreshka"/>
        <w:spacing w:line="240" w:lineRule="auto"/>
      </w:pPr>
    </w:p>
    <w:p w:rsidR="00626DAF" w:rsidRDefault="005D3C96">
      <w:pPr>
        <w:pStyle w:val="Igoreshka"/>
        <w:spacing w:line="240" w:lineRule="auto"/>
        <w:rPr>
          <w:i/>
          <w:u w:val="single"/>
        </w:rPr>
      </w:pPr>
      <w:r>
        <w:t xml:space="preserve">Внешэкономбанку предоставляется отсрочка в погашении долгов на 25 лет с семилетним льготным периодом, в течение которого выплачиваются лишь проценты, причем по достаточно льготной ставке </w:t>
      </w:r>
      <w:r>
        <w:rPr>
          <w:lang w:val="en-US"/>
        </w:rPr>
        <w:t>LIBOR</w:t>
      </w:r>
      <w:r>
        <w:t xml:space="preserve"> + 13/16. Только часть каждого платежа будет осуществлена деньгами, правда с течением времени эта часть будет увеличиваться. Другая часть выплачивается процентными облигациями (</w:t>
      </w:r>
      <w:r>
        <w:rPr>
          <w:lang w:val="en-US"/>
        </w:rPr>
        <w:t>IANs</w:t>
      </w:r>
      <w:r>
        <w:t xml:space="preserve">). Агентом по обслуживанию основного долга стал </w:t>
      </w:r>
      <w:r>
        <w:rPr>
          <w:lang w:val="en-US"/>
        </w:rPr>
        <w:t>Bank</w:t>
      </w:r>
      <w:r>
        <w:t xml:space="preserve"> </w:t>
      </w:r>
      <w:r>
        <w:rPr>
          <w:lang w:val="en-US"/>
        </w:rPr>
        <w:t>of</w:t>
      </w:r>
      <w:r>
        <w:t xml:space="preserve"> </w:t>
      </w:r>
      <w:r>
        <w:rPr>
          <w:lang w:val="en-US"/>
        </w:rPr>
        <w:t>America</w:t>
      </w:r>
      <w:r>
        <w:t xml:space="preserve">, агентом по обслуживанию процентных облигаций - </w:t>
      </w:r>
      <w:r>
        <w:rPr>
          <w:lang w:val="en-US"/>
        </w:rPr>
        <w:t>Chase</w:t>
      </w:r>
      <w:r>
        <w:t xml:space="preserve"> </w:t>
      </w:r>
      <w:r>
        <w:rPr>
          <w:lang w:val="en-US"/>
        </w:rPr>
        <w:t>Manhattan</w:t>
      </w:r>
      <w:r>
        <w:t xml:space="preserve"> </w:t>
      </w:r>
      <w:r>
        <w:rPr>
          <w:lang w:val="en-US"/>
        </w:rPr>
        <w:t>Bank</w:t>
      </w:r>
      <w:r>
        <w:t xml:space="preserve">, агентом по завершению сделки и осуществлению первоначальных платежей по Лондонскому клубу - </w:t>
      </w:r>
      <w:r>
        <w:rPr>
          <w:lang w:val="en-US"/>
        </w:rPr>
        <w:t>Deutshe</w:t>
      </w:r>
      <w:r>
        <w:t xml:space="preserve"> </w:t>
      </w:r>
      <w:r>
        <w:rPr>
          <w:lang w:val="en-US"/>
        </w:rPr>
        <w:t>Bank</w:t>
      </w:r>
      <w:r>
        <w:t>.</w:t>
      </w:r>
    </w:p>
    <w:p w:rsidR="00626DAF" w:rsidRDefault="005D3C96">
      <w:pPr>
        <w:pStyle w:val="1"/>
        <w:ind w:firstLine="720"/>
        <w:jc w:val="center"/>
        <w:rPr>
          <w:rFonts w:ascii="Times New Roman" w:hAnsi="Times New Roman"/>
          <w:lang w:val="ru-RU"/>
        </w:rPr>
      </w:pPr>
      <w:bookmarkStart w:id="8" w:name="_Toc404693949"/>
      <w:bookmarkStart w:id="9" w:name="_Toc404694038"/>
      <w:r>
        <w:rPr>
          <w:rFonts w:ascii="Times New Roman" w:hAnsi="Times New Roman"/>
          <w:lang w:val="ru-RU"/>
        </w:rPr>
        <w:br w:type="page"/>
        <w:t>Библиография</w:t>
      </w:r>
      <w:bookmarkEnd w:id="8"/>
      <w:bookmarkEnd w:id="9"/>
    </w:p>
    <w:p w:rsidR="00626DAF" w:rsidRDefault="00626DAF">
      <w:pPr>
        <w:pStyle w:val="Igoreshka"/>
        <w:spacing w:line="240" w:lineRule="auto"/>
        <w:rPr>
          <w:b/>
        </w:rPr>
      </w:pPr>
    </w:p>
    <w:p w:rsidR="00626DAF" w:rsidRDefault="005D3C96">
      <w:pPr>
        <w:pStyle w:val="Igoreshka"/>
        <w:spacing w:line="240" w:lineRule="auto"/>
      </w:pPr>
      <w:r>
        <w:rPr>
          <w:b/>
        </w:rPr>
        <w:t xml:space="preserve">1. </w:t>
      </w:r>
      <w:r>
        <w:t>Экономическая энциклопедия. – 1999г.</w:t>
      </w:r>
    </w:p>
    <w:p w:rsidR="00626DAF" w:rsidRDefault="005D3C96">
      <w:pPr>
        <w:pStyle w:val="Igoreshka"/>
        <w:spacing w:line="240" w:lineRule="auto"/>
      </w:pPr>
      <w:r>
        <w:rPr>
          <w:b/>
        </w:rPr>
        <w:t>2.</w:t>
      </w:r>
      <w:r>
        <w:t xml:space="preserve"> </w:t>
      </w:r>
      <w:r>
        <w:rPr>
          <w:u w:val="single"/>
        </w:rPr>
        <w:t xml:space="preserve">Ресурсы глобальной сети </w:t>
      </w:r>
      <w:r>
        <w:rPr>
          <w:caps/>
          <w:u w:val="single"/>
        </w:rPr>
        <w:t>и</w:t>
      </w:r>
      <w:r>
        <w:rPr>
          <w:u w:val="single"/>
        </w:rPr>
        <w:t>нтернет:</w:t>
      </w:r>
    </w:p>
    <w:p w:rsidR="00626DAF" w:rsidRDefault="005D3C96">
      <w:pPr>
        <w:pStyle w:val="Igoreshka"/>
        <w:spacing w:line="240" w:lineRule="auto"/>
      </w:pPr>
      <w:r>
        <w:rPr>
          <w:b/>
        </w:rPr>
        <w:t>2.1.</w:t>
      </w:r>
      <w:r>
        <w:t xml:space="preserve"> “Известия” от 03.10.97 Докучаев Д. “Москва примеряет клубный пиджак. На сей раз лондонский”.</w:t>
      </w:r>
    </w:p>
    <w:p w:rsidR="00626DAF" w:rsidRDefault="005D3C96">
      <w:pPr>
        <w:pStyle w:val="Igoreshka"/>
        <w:spacing w:line="240" w:lineRule="auto"/>
      </w:pPr>
      <w:r>
        <w:rPr>
          <w:b/>
        </w:rPr>
        <w:t>2.2</w:t>
      </w:r>
      <w:r>
        <w:t>. “Сегодня” №125 за 1997 Паниев Ю. ”Вступление в клуб стоит мессы”</w:t>
      </w:r>
    </w:p>
    <w:p w:rsidR="00626DAF" w:rsidRDefault="00626DAF">
      <w:pPr>
        <w:pStyle w:val="Igoreshka"/>
        <w:spacing w:line="240" w:lineRule="auto"/>
      </w:pPr>
    </w:p>
    <w:p w:rsidR="00626DAF" w:rsidRDefault="00626DAF">
      <w:pPr>
        <w:pStyle w:val="Igoreshka"/>
        <w:spacing w:line="240" w:lineRule="auto"/>
      </w:pPr>
    </w:p>
    <w:p w:rsidR="00626DAF" w:rsidRDefault="005D3C96">
      <w:pPr>
        <w:pStyle w:val="Igoreshka"/>
        <w:spacing w:line="240" w:lineRule="auto"/>
        <w:jc w:val="right"/>
        <w:rPr>
          <w:b/>
          <w:sz w:val="28"/>
        </w:rPr>
      </w:pPr>
      <w:r>
        <w:br w:type="page"/>
      </w:r>
      <w:r>
        <w:rPr>
          <w:b/>
          <w:sz w:val="28"/>
        </w:rPr>
        <w:t>Приложение А</w:t>
      </w:r>
    </w:p>
    <w:p w:rsidR="00626DAF" w:rsidRDefault="005D3C96">
      <w:pPr>
        <w:pStyle w:val="Igoreshka"/>
        <w:spacing w:line="240" w:lineRule="auto"/>
        <w:rPr>
          <w:i/>
        </w:rPr>
      </w:pPr>
      <w:r>
        <w:rPr>
          <w:b/>
          <w:i/>
        </w:rPr>
        <w:t>Лондонский клуб</w:t>
      </w:r>
      <w:r>
        <w:rPr>
          <w:i/>
        </w:rPr>
        <w:t xml:space="preserve"> - международное объединение частных коммерческих банков - сформирован в конце 70-х годов для решения проблем, возникших из-за неспособности ряда стран (в первую очередь развивающихся) регулярно обслуживать внешнюю задолженность. Лондонский клуб занимается вопросами задолженности перед частными коммерческими банками, кредиты которых не находятся под защитой госгарантий или страхования. Основные методы решения долговых проблем: реструктуризация задолженности, отсрочка погашения, предоставление возобновляемых кредитов. Первое заседание Лондонского клуба было созвано в 1976 году в связи с проблемами Заира. Всего в 1981-1983 годах заключено 14 соглашений на 10 миллиардов долларов, в последующие два года, после разразившегося мирового долгового кризиса 1982 года, 47 соглашений на 130 миллиардов долларов. В 1994-1996 годах Лондонский клуб осуществил реструктуризацию внешней задолженности Польши, Болгарии, Румынии, Венгрии, а также некоторых развивающихся стран (например, Бразилии и Габона). В клуб сегодня входит более 600 коммерческих банков индустриально развитых стран мира. В составе кредиторов, связанных с Внешэкономбанком, 430 банков во главе с Банковским консультативным комитетом (БКК) (список банков-членов БКК приводится ниже), который является органом выработки общих принципов по урегулированию задолженности Внешэкономбанком  перед коммерческим банками - кредиторами СССР.</w:t>
      </w:r>
    </w:p>
    <w:p w:rsidR="00626DAF" w:rsidRDefault="00626DAF">
      <w:pPr>
        <w:pStyle w:val="Igoreshka"/>
        <w:spacing w:line="240" w:lineRule="auto"/>
        <w:jc w:val="center"/>
        <w:rPr>
          <w:b/>
          <w:i/>
          <w:u w:val="single"/>
        </w:rPr>
      </w:pPr>
    </w:p>
    <w:p w:rsidR="00626DAF" w:rsidRDefault="005D3C96">
      <w:pPr>
        <w:pStyle w:val="Igoreshka"/>
        <w:spacing w:line="240" w:lineRule="auto"/>
        <w:jc w:val="center"/>
        <w:rPr>
          <w:b/>
          <w:i/>
          <w:u w:val="single"/>
        </w:rPr>
      </w:pPr>
      <w:r>
        <w:rPr>
          <w:b/>
          <w:i/>
          <w:u w:val="single"/>
        </w:rPr>
        <w:t>Банки-члены БКК Лондонского клуба</w:t>
      </w:r>
    </w:p>
    <w:p w:rsidR="00626DAF" w:rsidRDefault="00626DAF">
      <w:pPr>
        <w:pStyle w:val="Igoreshka"/>
        <w:spacing w:line="240" w:lineRule="auto"/>
        <w:rPr>
          <w:b/>
          <w:i/>
        </w:rPr>
      </w:pPr>
    </w:p>
    <w:p w:rsidR="00626DAF" w:rsidRDefault="005D3C96">
      <w:pPr>
        <w:pStyle w:val="Igoreshka"/>
        <w:spacing w:line="240" w:lineRule="exact"/>
        <w:rPr>
          <w:i/>
        </w:rPr>
      </w:pPr>
      <w:r>
        <w:rPr>
          <w:b/>
          <w:i/>
        </w:rPr>
        <w:t xml:space="preserve">Германия: </w:t>
      </w:r>
      <w:r>
        <w:rPr>
          <w:i/>
          <w:lang w:val="en-US"/>
        </w:rPr>
        <w:t>Deutshe</w:t>
      </w:r>
      <w:r>
        <w:rPr>
          <w:i/>
        </w:rPr>
        <w:t xml:space="preserve"> </w:t>
      </w:r>
      <w:r>
        <w:rPr>
          <w:i/>
          <w:lang w:val="en-US"/>
        </w:rPr>
        <w:t>Bank</w:t>
      </w:r>
      <w:r>
        <w:rPr>
          <w:i/>
        </w:rPr>
        <w:t xml:space="preserve"> </w:t>
      </w:r>
      <w:r>
        <w:rPr>
          <w:i/>
          <w:lang w:val="en-US"/>
        </w:rPr>
        <w:t>AG</w:t>
      </w:r>
      <w:r>
        <w:rPr>
          <w:i/>
        </w:rPr>
        <w:t xml:space="preserve"> (председатель БКК), </w:t>
      </w:r>
      <w:r>
        <w:rPr>
          <w:i/>
          <w:lang w:val="en-US"/>
        </w:rPr>
        <w:t>Dresdner</w:t>
      </w:r>
      <w:r>
        <w:rPr>
          <w:i/>
        </w:rPr>
        <w:t xml:space="preserve"> </w:t>
      </w:r>
      <w:r>
        <w:rPr>
          <w:i/>
          <w:lang w:val="en-US"/>
        </w:rPr>
        <w:t>Bank</w:t>
      </w:r>
      <w:r>
        <w:rPr>
          <w:i/>
        </w:rPr>
        <w:t xml:space="preserve">, </w:t>
      </w:r>
      <w:r>
        <w:rPr>
          <w:i/>
          <w:lang w:val="en-US"/>
        </w:rPr>
        <w:t>Kommerzbank</w:t>
      </w:r>
      <w:r>
        <w:rPr>
          <w:i/>
        </w:rPr>
        <w:t xml:space="preserve"> </w:t>
      </w:r>
      <w:r>
        <w:rPr>
          <w:i/>
          <w:lang w:val="en-US"/>
        </w:rPr>
        <w:t>AG</w:t>
      </w:r>
      <w:r>
        <w:rPr>
          <w:i/>
        </w:rPr>
        <w:t>.</w:t>
      </w:r>
    </w:p>
    <w:p w:rsidR="00626DAF" w:rsidRDefault="005D3C96">
      <w:pPr>
        <w:pStyle w:val="Igoreshka"/>
        <w:spacing w:line="240" w:lineRule="exact"/>
        <w:rPr>
          <w:i/>
          <w:lang w:val="en-US"/>
        </w:rPr>
      </w:pPr>
      <w:r>
        <w:rPr>
          <w:b/>
        </w:rPr>
        <w:t>Италия</w:t>
      </w:r>
      <w:r>
        <w:rPr>
          <w:b/>
          <w:lang w:val="en-US"/>
        </w:rPr>
        <w:t xml:space="preserve">: </w:t>
      </w:r>
      <w:r>
        <w:rPr>
          <w:i/>
          <w:lang w:val="en-US"/>
        </w:rPr>
        <w:t>Banca Commerciale Italiana, Mediocredito Centrale.</w:t>
      </w:r>
    </w:p>
    <w:p w:rsidR="00626DAF" w:rsidRDefault="005D3C96">
      <w:pPr>
        <w:pStyle w:val="Igoreshka"/>
        <w:spacing w:line="240" w:lineRule="exact"/>
        <w:rPr>
          <w:i/>
          <w:lang w:val="en-US"/>
        </w:rPr>
      </w:pPr>
      <w:r>
        <w:rPr>
          <w:b/>
        </w:rPr>
        <w:t>США</w:t>
      </w:r>
      <w:r>
        <w:rPr>
          <w:b/>
          <w:lang w:val="en-US"/>
        </w:rPr>
        <w:t xml:space="preserve">: </w:t>
      </w:r>
      <w:r>
        <w:rPr>
          <w:i/>
          <w:lang w:val="en-US"/>
        </w:rPr>
        <w:t>Bank of America.</w:t>
      </w:r>
    </w:p>
    <w:p w:rsidR="00626DAF" w:rsidRDefault="005D3C96">
      <w:pPr>
        <w:pStyle w:val="Igoreshka"/>
        <w:spacing w:line="240" w:lineRule="exact"/>
        <w:rPr>
          <w:i/>
        </w:rPr>
      </w:pPr>
      <w:r>
        <w:rPr>
          <w:b/>
        </w:rPr>
        <w:t xml:space="preserve">Великобритания: </w:t>
      </w:r>
      <w:r>
        <w:rPr>
          <w:i/>
          <w:lang w:val="en-US"/>
        </w:rPr>
        <w:t>Midland</w:t>
      </w:r>
      <w:r>
        <w:rPr>
          <w:i/>
        </w:rPr>
        <w:t xml:space="preserve"> </w:t>
      </w:r>
      <w:r>
        <w:rPr>
          <w:i/>
          <w:lang w:val="en-US"/>
        </w:rPr>
        <w:t>Bank</w:t>
      </w:r>
      <w:r>
        <w:rPr>
          <w:i/>
        </w:rPr>
        <w:t>.</w:t>
      </w:r>
    </w:p>
    <w:p w:rsidR="00626DAF" w:rsidRDefault="005D3C96">
      <w:pPr>
        <w:pStyle w:val="Igoreshka"/>
        <w:spacing w:line="240" w:lineRule="exact"/>
        <w:rPr>
          <w:i/>
          <w:lang w:val="en-US"/>
        </w:rPr>
      </w:pPr>
      <w:r>
        <w:rPr>
          <w:b/>
        </w:rPr>
        <w:t>Япония</w:t>
      </w:r>
      <w:r>
        <w:rPr>
          <w:b/>
          <w:lang w:val="en-US"/>
        </w:rPr>
        <w:t xml:space="preserve">: </w:t>
      </w:r>
      <w:r>
        <w:rPr>
          <w:i/>
          <w:lang w:val="en-US"/>
        </w:rPr>
        <w:t>Bank of Tokyo-Mitsubishi, Dai-Ichi Kangyo Bank, Industrial Bank of Japan (</w:t>
      </w:r>
      <w:r>
        <w:rPr>
          <w:i/>
        </w:rPr>
        <w:t>сопредседатель</w:t>
      </w:r>
      <w:r>
        <w:rPr>
          <w:i/>
          <w:lang w:val="en-US"/>
        </w:rPr>
        <w:t xml:space="preserve"> </w:t>
      </w:r>
      <w:r>
        <w:rPr>
          <w:i/>
        </w:rPr>
        <w:t>БКК</w:t>
      </w:r>
      <w:r>
        <w:rPr>
          <w:i/>
          <w:lang w:val="en-US"/>
        </w:rPr>
        <w:t>.)</w:t>
      </w:r>
    </w:p>
    <w:p w:rsidR="00626DAF" w:rsidRDefault="005D3C96">
      <w:pPr>
        <w:pStyle w:val="Igoreshka"/>
        <w:spacing w:line="240" w:lineRule="exact"/>
        <w:rPr>
          <w:i/>
          <w:lang w:val="en-US"/>
        </w:rPr>
      </w:pPr>
      <w:r>
        <w:rPr>
          <w:b/>
        </w:rPr>
        <w:t>Франция</w:t>
      </w:r>
      <w:r>
        <w:rPr>
          <w:b/>
          <w:lang w:val="en-US"/>
        </w:rPr>
        <w:t xml:space="preserve">: </w:t>
      </w:r>
      <w:r>
        <w:rPr>
          <w:i/>
          <w:lang w:val="en-US"/>
        </w:rPr>
        <w:t>Credit Lyonnais SA (</w:t>
      </w:r>
      <w:r>
        <w:rPr>
          <w:i/>
        </w:rPr>
        <w:t>сопредседатель</w:t>
      </w:r>
      <w:r>
        <w:rPr>
          <w:i/>
          <w:lang w:val="en-US"/>
        </w:rPr>
        <w:t xml:space="preserve"> </w:t>
      </w:r>
      <w:r>
        <w:rPr>
          <w:i/>
        </w:rPr>
        <w:t>БКК</w:t>
      </w:r>
      <w:r>
        <w:rPr>
          <w:i/>
          <w:lang w:val="en-US"/>
        </w:rPr>
        <w:t>), Banque Nationale de Paris SA.</w:t>
      </w:r>
    </w:p>
    <w:p w:rsidR="00626DAF" w:rsidRDefault="005D3C96">
      <w:pPr>
        <w:pStyle w:val="Igoreshka"/>
        <w:spacing w:line="240" w:lineRule="exact"/>
        <w:rPr>
          <w:i/>
        </w:rPr>
      </w:pPr>
      <w:r>
        <w:rPr>
          <w:b/>
        </w:rPr>
        <w:t xml:space="preserve">Австрия: </w:t>
      </w:r>
      <w:r>
        <w:rPr>
          <w:i/>
          <w:lang w:val="en-US"/>
        </w:rPr>
        <w:t>Creditanstalt</w:t>
      </w:r>
      <w:r>
        <w:rPr>
          <w:i/>
        </w:rPr>
        <w:t>-</w:t>
      </w:r>
      <w:r>
        <w:rPr>
          <w:i/>
          <w:lang w:val="en-US"/>
        </w:rPr>
        <w:t>Bankverein</w:t>
      </w:r>
    </w:p>
    <w:p w:rsidR="00626DAF" w:rsidRDefault="00626DAF">
      <w:pPr>
        <w:pStyle w:val="1"/>
        <w:ind w:firstLine="720"/>
        <w:jc w:val="center"/>
        <w:rPr>
          <w:rFonts w:ascii="Times New Roman" w:hAnsi="Times New Roman"/>
          <w:i/>
          <w:lang w:val="ru-RU"/>
        </w:rPr>
      </w:pPr>
    </w:p>
    <w:p w:rsidR="00626DAF" w:rsidRDefault="005D3C96">
      <w:pPr>
        <w:ind w:firstLine="720"/>
        <w:jc w:val="both"/>
        <w:rPr>
          <w:i/>
          <w:sz w:val="24"/>
          <w:lang w:val="ru-RU"/>
        </w:rPr>
      </w:pPr>
      <w:r>
        <w:rPr>
          <w:b/>
          <w:i/>
          <w:sz w:val="24"/>
          <w:lang w:val="ru-RU"/>
        </w:rPr>
        <w:t>Парижский клуб</w:t>
      </w:r>
      <w:r>
        <w:rPr>
          <w:i/>
          <w:sz w:val="24"/>
          <w:lang w:val="ru-RU"/>
        </w:rPr>
        <w:t xml:space="preserve"> – международная организация, объединяющая государства-кредиторы. Функционирует в тесном сотрудничестве с МВФ. Если какое-либо государство-должник, испытывающее экономические трудности (в частности, в балансировании баланса платежа), начинает осуществлять программу оздоровления под эгидой МВФ. </w:t>
      </w:r>
      <w:r>
        <w:rPr>
          <w:b/>
          <w:i/>
          <w:sz w:val="24"/>
          <w:lang w:val="ru-RU"/>
        </w:rPr>
        <w:t>П. к.</w:t>
      </w:r>
      <w:r>
        <w:rPr>
          <w:i/>
          <w:sz w:val="24"/>
          <w:lang w:val="ru-RU"/>
        </w:rPr>
        <w:t xml:space="preserve"> совместно с правительством данной страны вырабатывает соглашение о реструктуризации её внешнего государственного долга. В результате появляется возможность уменьшить пассивное сальдо платёжного баланса, не сокращая при этом объём импорта товаров и капиталов.</w:t>
      </w:r>
    </w:p>
    <w:p w:rsidR="00626DAF" w:rsidRDefault="005D3C96">
      <w:pPr>
        <w:ind w:firstLine="720"/>
        <w:jc w:val="both"/>
        <w:rPr>
          <w:i/>
          <w:sz w:val="24"/>
          <w:lang w:val="ru-RU"/>
        </w:rPr>
      </w:pPr>
      <w:r>
        <w:rPr>
          <w:i/>
          <w:sz w:val="24"/>
          <w:lang w:val="ru-RU"/>
        </w:rPr>
        <w:t xml:space="preserve">Величина долга России с (учётом процентов) государствам – членам </w:t>
      </w:r>
      <w:r>
        <w:rPr>
          <w:b/>
          <w:i/>
          <w:sz w:val="24"/>
          <w:lang w:val="ru-RU"/>
        </w:rPr>
        <w:t>П. к</w:t>
      </w:r>
      <w:r>
        <w:rPr>
          <w:i/>
          <w:sz w:val="24"/>
          <w:lang w:val="ru-RU"/>
        </w:rPr>
        <w:t xml:space="preserve">. составляет  около 40млрд. долларов (1996г). В начале 19993г. Россия подписала первое соглашение с П.к., по которому страна получила право не выплачивать по советским долгам в этом году 15млрд. долларов процентных платежей. В апреле 1996г. было подписано новое соглашение о долгосрочной реструктуризации Российского долга членам </w:t>
      </w:r>
      <w:r>
        <w:rPr>
          <w:b/>
          <w:i/>
          <w:sz w:val="24"/>
          <w:lang w:val="ru-RU"/>
        </w:rPr>
        <w:t>П.к.</w:t>
      </w:r>
      <w:r>
        <w:rPr>
          <w:i/>
          <w:sz w:val="24"/>
          <w:lang w:val="ru-RU"/>
        </w:rPr>
        <w:t xml:space="preserve"> Погашение основного долга должно начаться по договору в 2002г. и завершиться в 2020г. Т.о., России был предоставлен 6 летний льготный период по выплате основной суммы долга. Подписание соглашения дало России возможность самой стать членом </w:t>
      </w:r>
      <w:r>
        <w:rPr>
          <w:b/>
          <w:i/>
          <w:sz w:val="24"/>
          <w:lang w:val="ru-RU"/>
        </w:rPr>
        <w:t>П.к.</w:t>
      </w:r>
      <w:r>
        <w:rPr>
          <w:i/>
          <w:sz w:val="24"/>
          <w:lang w:val="ru-RU"/>
        </w:rPr>
        <w:t xml:space="preserve">, что облегчит работу с ее должниками, поскольку члены клуба проводят солидарную политику по отношению к должникам.  </w:t>
      </w:r>
      <w:bookmarkStart w:id="10" w:name="_GoBack"/>
      <w:bookmarkEnd w:id="10"/>
    </w:p>
    <w:sectPr w:rsidR="00626DAF">
      <w:headerReference w:type="even" r:id="rId9"/>
      <w:headerReference w:type="default" r:id="rId10"/>
      <w:footerReference w:type="even" r:id="rId11"/>
      <w:footerReference w:type="default" r:id="rId12"/>
      <w:pgSz w:w="11907" w:h="16840" w:code="9"/>
      <w:pgMar w:top="1134" w:right="567" w:bottom="1134" w:left="1134" w:header="113" w:footer="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DAF" w:rsidRDefault="005D3C96">
      <w:r>
        <w:separator/>
      </w:r>
    </w:p>
  </w:endnote>
  <w:endnote w:type="continuationSeparator" w:id="0">
    <w:p w:rsidR="00626DAF" w:rsidRDefault="005D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AF" w:rsidRDefault="005D3C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26DAF" w:rsidRDefault="00626D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AF" w:rsidRDefault="00626DAF">
    <w:pPr>
      <w:pStyle w:val="a5"/>
      <w:framePr w:wrap="around" w:vAnchor="text" w:hAnchor="margin" w:xAlign="right" w:y="1"/>
      <w:rPr>
        <w:rStyle w:val="a6"/>
      </w:rPr>
    </w:pPr>
  </w:p>
  <w:p w:rsidR="00626DAF" w:rsidRDefault="00626D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DAF" w:rsidRDefault="005D3C96">
      <w:r>
        <w:separator/>
      </w:r>
    </w:p>
  </w:footnote>
  <w:footnote w:type="continuationSeparator" w:id="0">
    <w:p w:rsidR="00626DAF" w:rsidRDefault="005D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AF" w:rsidRDefault="005D3C96">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626DAF" w:rsidRDefault="00626DA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AF" w:rsidRDefault="005D3C96">
    <w:pPr>
      <w:pStyle w:val="a7"/>
      <w:framePr w:wrap="around" w:vAnchor="text" w:hAnchor="page" w:x="11233" w:y="749"/>
      <w:rPr>
        <w:rStyle w:val="a6"/>
        <w:b/>
      </w:rPr>
    </w:pPr>
    <w:r>
      <w:rPr>
        <w:rStyle w:val="a6"/>
        <w:b/>
      </w:rPr>
      <w:fldChar w:fldCharType="begin"/>
    </w:r>
    <w:r>
      <w:rPr>
        <w:rStyle w:val="a6"/>
        <w:b/>
      </w:rPr>
      <w:instrText xml:space="preserve">PAGE  </w:instrText>
    </w:r>
    <w:r>
      <w:rPr>
        <w:rStyle w:val="a6"/>
        <w:b/>
      </w:rPr>
      <w:fldChar w:fldCharType="separate"/>
    </w:r>
    <w:r>
      <w:rPr>
        <w:rStyle w:val="a6"/>
        <w:b/>
        <w:noProof/>
      </w:rPr>
      <w:t>2</w:t>
    </w:r>
    <w:r>
      <w:rPr>
        <w:rStyle w:val="a6"/>
        <w:b/>
      </w:rPr>
      <w:fldChar w:fldCharType="end"/>
    </w:r>
  </w:p>
  <w:p w:rsidR="00626DAF" w:rsidRDefault="00626DA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4E4197C"/>
    <w:multiLevelType w:val="singleLevel"/>
    <w:tmpl w:val="605CFF32"/>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sz w:val="28"/>
        </w:rPr>
      </w:lvl>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C96"/>
    <w:rsid w:val="005D3C96"/>
    <w:rsid w:val="00626DAF"/>
    <w:rsid w:val="00A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E1C5838-2117-4420-8815-02CCDA72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paragraph" w:customStyle="1" w:styleId="Igoreshka">
    <w:name w:val="Igoreshka"/>
    <w:basedOn w:val="a"/>
    <w:pPr>
      <w:spacing w:after="120" w:line="360" w:lineRule="auto"/>
      <w:ind w:firstLine="720"/>
      <w:jc w:val="both"/>
    </w:pPr>
    <w:rPr>
      <w:sz w:val="24"/>
      <w:lang w:val="ru-RU"/>
    </w:rPr>
  </w:style>
  <w:style w:type="character" w:styleId="a4">
    <w:name w:val="footnote reference"/>
    <w:basedOn w:val="a0"/>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toc 1"/>
    <w:basedOn w:val="a"/>
    <w:next w:val="a"/>
    <w:semiHidden/>
    <w:pPr>
      <w:tabs>
        <w:tab w:val="right" w:leader="underscore" w:pos="8313"/>
      </w:tabs>
      <w:spacing w:before="120"/>
    </w:pPr>
    <w:rPr>
      <w:b/>
      <w:i/>
      <w:sz w:val="24"/>
    </w:rPr>
  </w:style>
  <w:style w:type="paragraph" w:styleId="20">
    <w:name w:val="toc 2"/>
    <w:basedOn w:val="a"/>
    <w:next w:val="a"/>
    <w:semiHidden/>
    <w:pPr>
      <w:tabs>
        <w:tab w:val="right" w:leader="underscore" w:pos="8313"/>
      </w:tabs>
      <w:spacing w:before="120"/>
      <w:ind w:left="200"/>
    </w:pPr>
    <w:rPr>
      <w:b/>
      <w:sz w:val="22"/>
    </w:rPr>
  </w:style>
  <w:style w:type="paragraph" w:styleId="3">
    <w:name w:val="toc 3"/>
    <w:basedOn w:val="a"/>
    <w:next w:val="a"/>
    <w:semiHidden/>
    <w:pPr>
      <w:tabs>
        <w:tab w:val="right" w:leader="underscore" w:pos="8313"/>
      </w:tabs>
      <w:ind w:left="400"/>
    </w:pPr>
  </w:style>
  <w:style w:type="paragraph" w:styleId="4">
    <w:name w:val="toc 4"/>
    <w:basedOn w:val="a"/>
    <w:next w:val="a"/>
    <w:semiHidden/>
    <w:pPr>
      <w:tabs>
        <w:tab w:val="right" w:leader="underscore" w:pos="8313"/>
      </w:tabs>
      <w:ind w:left="600"/>
    </w:pPr>
  </w:style>
  <w:style w:type="paragraph" w:styleId="5">
    <w:name w:val="toc 5"/>
    <w:basedOn w:val="a"/>
    <w:next w:val="a"/>
    <w:semiHidden/>
    <w:pPr>
      <w:tabs>
        <w:tab w:val="right" w:leader="underscore" w:pos="8313"/>
      </w:tabs>
      <w:ind w:left="800"/>
    </w:pPr>
  </w:style>
  <w:style w:type="paragraph" w:styleId="6">
    <w:name w:val="toc 6"/>
    <w:basedOn w:val="a"/>
    <w:next w:val="a"/>
    <w:semiHidden/>
    <w:pPr>
      <w:tabs>
        <w:tab w:val="right" w:leader="underscore" w:pos="8313"/>
      </w:tabs>
      <w:ind w:left="1000"/>
    </w:pPr>
  </w:style>
  <w:style w:type="paragraph" w:styleId="7">
    <w:name w:val="toc 7"/>
    <w:basedOn w:val="a"/>
    <w:next w:val="a"/>
    <w:semiHidden/>
    <w:pPr>
      <w:tabs>
        <w:tab w:val="right" w:leader="underscore" w:pos="8313"/>
      </w:tabs>
      <w:ind w:left="1200"/>
    </w:pPr>
  </w:style>
  <w:style w:type="paragraph" w:styleId="8">
    <w:name w:val="toc 8"/>
    <w:basedOn w:val="a"/>
    <w:next w:val="a"/>
    <w:semiHidden/>
    <w:pPr>
      <w:tabs>
        <w:tab w:val="right" w:leader="underscore" w:pos="8313"/>
      </w:tabs>
      <w:ind w:left="1400"/>
    </w:pPr>
  </w:style>
  <w:style w:type="paragraph" w:styleId="9">
    <w:name w:val="toc 9"/>
    <w:basedOn w:val="a"/>
    <w:next w:val="a"/>
    <w:semiHidden/>
    <w:pPr>
      <w:tabs>
        <w:tab w:val="right" w:leader="underscore" w:pos="8313"/>
      </w:tabs>
      <w:ind w:left="1600"/>
    </w:pPr>
  </w:style>
  <w:style w:type="paragraph" w:styleId="a7">
    <w:name w:val="header"/>
    <w:basedOn w:val="a"/>
    <w:semiHidden/>
    <w:pPr>
      <w:tabs>
        <w:tab w:val="center" w:pos="4153"/>
        <w:tab w:val="right" w:pos="8306"/>
      </w:tabs>
    </w:pPr>
  </w:style>
  <w:style w:type="paragraph" w:styleId="a8">
    <w:name w:val="Plain Text"/>
    <w:basedOn w:val="a"/>
    <w:semiHidden/>
    <w:rPr>
      <w:rFonts w:ascii="Courier New" w:hAnsi="Courier New"/>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Words>
  <Characters>7114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Debnarev</dc:creator>
  <cp:keywords/>
  <dc:description/>
  <cp:lastModifiedBy>Irina</cp:lastModifiedBy>
  <cp:revision>2</cp:revision>
  <cp:lastPrinted>1899-12-31T21:00:00Z</cp:lastPrinted>
  <dcterms:created xsi:type="dcterms:W3CDTF">2014-08-06T16:14:00Z</dcterms:created>
  <dcterms:modified xsi:type="dcterms:W3CDTF">2014-08-06T16:14:00Z</dcterms:modified>
</cp:coreProperties>
</file>